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127</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28 de octubre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en el recurso de amparo núm. 1984-2019, promovido por Penrei Inversiones,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26 de marzo de 2019, tuvo entrada en el registro general de este Tribunal Constitucional un escrito de la procuradora doña Blanca Berriatua Horta, en representación de la entidad Penrei Inversiones S.L., por el que interpuso recurso de amparo contra el auto de 17 de septiembre de 2018, del Juzgado de Primera Instancia e Instrucción núm. 6 de Lorca, que inadmitió el escrito de oposición a la ejecución hipotecaria promovida por Banco de Sabadell, S.A., y contra el auto del mismo juzgado, de 11 de febrero de 2019, que desestimó el recurso de reposición interpuesto contra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17 de septiembre de 2018, el juzgado de primera instancia e instrucción ya indicado dictó un auto en el procedimiento de ejecución hipotecaria núm. 59-2018 por el que acordó: “Inadmitir a trámite la oposición formulada por la parte ejecutada Euro Inversiones Inmobiliarias Costa Sur, S.L., y Penrei Inversiones, S.L.”, advirtiendo en pie de recurso que contra dicha resolución cabía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basó su decisión, conforme a su fundamento de Derecho único, en lo siguiente: “Se establece en el artículo 134 de la Ley de enjuiciamiento civil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 y previniéndose en el artículo 695 LEC, que el escrito de oposición a la ejecución deberá ser presentado dentro de los diez días siguientes al de la notificación del auto y decreto por el que se despacha ejecución y/o de la medida concreta de ejecución, y constando en el presente supuesto que la parte ejecutada se ha opuesto pasado que ha sido el plazo que legalmente se le otorga, debe ser inadmitida su oposición por extemporánea, de conformidad con lo establecido en los preceptos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Formalizado contra dicho auto recurso de reposición por la entidad aquí demandante de amparo, el juzgado a quo dictó auto el 11 de febrero de 2019 desestimándolo, con confirmación de la resolución recurrida, en virtud de los motivos expresados en su razonamiento jurídico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“[S]iendo indiscutible la condición de personas jurídicas de las recurrentes, las mismas desde el 1 de enero de 2017 (disposición transitoria cuarta de la Ley 42/2015, de 5 de octubre, de reforma de la Ley de enjuiciamiento civil) están obligadas a relacionarse con la administración de justicia por medios electrónicos [art. 14. 2 a) de la Ley 39/2015, de procedimiento administrativo común de las administraciones públicas y art. 273. 3 a) LEC]. Interpretan los recurrentes de forma errónea la normativa aplicable”. Se citan al respecto los arts. 162.2 LEC y 33.2 y 34 de la Ley 18/2011, de 5 de julio, reguladora del uso de las tecnologías de la información y la comunicación en la administración de justicia; el art. 11.2 del Real Decreto 1065/2015, de 27 de noviembre, sobre comunicaciones electrónicas en la administración de justicia en el ámbito territorial del Ministerio de Justicia y por el que se regula el sistema LexNet; y el acuerdo no jurisdiccional del Pleno de la Sala Cuarta del Tribunal Supremo, de 6 de julio de 2016. Tras ello el auto señala: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consta que la notificación se puso a disposición de las recurrentes en fecha 30 de mayo de 2018 no accediendo al contenido hasta el día 15/ de julio de 2018 (fuera de los diez días naturales), presentando los escritos de oposición a la ejecución en fecha 24/7/2018 claramente fuera del plazo legalmente establecido en el art. 556. 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traía el siguiente pie de recurso: “Notifíquese esta resolución a las partes personadas, haciéndoles saber que es firme, y contra la misma no cabe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las resoluciones judiciales impugnadas causan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tratándose de su primer emplazamiento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reconoce que si bien la recurrente, por ser una persona jurídica, viene por ello obligada a relacionarse con la administración de justicia a través de medios electrónicos, no obstante cuando es el primer emplazamiento y por tanto todavía aquélla “no ha tenido ninguna relación con el juzgado correspondiente en este especial y concreto procedimiento”, ha de practicarse mediante cédula con entrega en papel de la documentación correspondiente, conforme establece el art. 273 LEC, en relación con los arts. 135, 152, 162 y 155 LEC. Este último, precisa, “es categórico al respecto ya que en su punto primero nos indica que cuando las partes no actúen representadas por procurador o se trate del primer emplazamiento o citación al demandado, los actos de comunicación se harán por remisión al domicilio de los litigantes”. Añade que incluso la notificación realizada tampoco cumple con las formalidades de las comunicaciones electrónicas, dando su interpretación sobre el alcance de las normas aplicables. Cita también las SSTC 326/1993, de 8 de noviembre, y la 131/2014, de 21 de julio, sobre el derecho a no padecer indefensión en materia de actos de comunicación. Concluye diciendo que la omisión correcta del primer emplazamiento le ha supuesto un perjuicio real y efectivo para ejercitar su defensa, por lo que procede declarar la nulidad de los actos posteriores al emplazamiento, debiendo volverse a practicarse este último. Insiste en que se ha producido una vulneración de los derechos fundamentales del art. 24 CE, en concreto el derecho a la defensa y a la asistencia letrada.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el auto del 11 de febrero de 2019 que desestimó la reposición, se rechaza por la recurrente que haya fundamentado su decisión en la ley de procedimiento administrativo común, puesto que en cada uno de los órdenes jurisdiccionales existe una normativa propia en esta materia. Y rechaza que pueda fundarse la inadmisión, como indica el juzgado, en la interpretación que este hace de los preceptos que al efecto 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se solicita que este Tribunal Constitucional, con estimación del amparo, acuerde la nulidad de ambas resoluciones judiciales y ordene reponer las actuaciones al momento previo al dictado de la primera de aquéllas, a fin de que el juzgado a quo admita a trámite la oposición al despacho de ejecución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derivadas [sic] de los pronunciamientos judiciales que han sido objeto de impugnación, con la celebración de subasta y la eventual adjudicación a terceros, pueden hacer perder al recurso de amparo su finalidad, por lo que solicito la suspensión de la continuación del procedimiento de ejecución hipotecaria 59-2018 seguido ante el Juzgado de Primer Instancia e Instrucción número 6 de Lorca, hasta tanto sea resuelto el presente recurso de amparo, poniéndolo en conocimiento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3 de abril de 2019, la Secretaría de Justicia de la Sección Cuarta, Sala Segunda, de este Tribunal, dictó diligencia de ordenación el por la que, de un lado, se tuvo por presentado el escrito de demanda pero se requirió a la representante procesal de la entidad recurrente para que en el plazo de diez días aportara copia del auto de 17 de septiembre de 2018 impugnado; y de otro lado, acordó dirigir atenta comunicación al Juzgado de Primera Instancia e Instrucción núm. 6 de Lorca, para que remitiera “certificación o fotocopia autorizada de las actuaciones correspondientes al procedimiento de ejecución hipotecaria núm. 59-2018”.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 este Tribunal Constitucional, dictó providencia el 16 de septiembre de 2019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LOTC) toda vez que el recurso puede dar ocasión al Tribunal para aclarar o cambiar su doctrina, como consecuencia de cambios normativos relevantes para la configuración del contenido del derecho fundamental [STC 155/2009,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diríjase atenta comunicación al Juzgado de Primera Instancia e Instrucción núm. 6 de Lorca a fin de que, en méritos a la ejecución hipotecaria núm. 59-2018, disponga lo necesario para que proceda emplazarse, para que en el plazo de diez días puedan comparecer, si lo desean, en el recurso de amparo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la solicitud de la parte actora, fórmese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nueva providencia dictada por la Sección Cuarta de este Tribunal en la misma fecha de la admisión del recurso, el 16 de septiembre de 2019, se dispuso “formar con la precedente fotocopia, la oportuna pieza para la tramitación del incidente sobre suspensión y conforme determina el artículo 56 de la Ley Orgánica de este Tribunal, conceder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entidad recurrente presentó su escrito de alegaciones con fecha 25 de septiembre de 2019, interesando se acceda a lo solicitado en cuanto a la suspensión del procedimiento de ejecución hipotecaria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alega que la continuación de tal procedimiento, “con la celebración de subasta y la eventual adjudicación a terceros o en su caso fuera adjudicada a la propia demandante del procedimiento de ejecución hipotecaria, harían perder al recurso de amparo su finalidad y provocarían perjuicios patrimoniales para mi representada de imposible o difícil reparación”. Invoca a su favor lo resuelto por este Tribunal en su ATC 287/2013, de 16 de diciembre, reiterando a renglón seguido las vulneraciones constitucionales de fondo que aduce en su demanda, e indicando que el celebrarse la subasta y la posible adjudicación del bien inmueble a terceros de buena fe, con “desposesión del bien ejecutado, conllevaría a situaciones irreversibles, con un inevitable perjuicio para mi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la fiscal ante este Tribunal Constitucional formalizó su escrito de alegaciones en esta pieza el 3 de octubre de 2019, interesando que adoptemos únicamente la medida de anotación preventiva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cita del art. 56.2 LOTC y reproducir lo declarado en el ATC 127/2015, de 20 de julio (cita por error 27 de julio), FJ 1, en relación con la necesidad de acreditar por el interesado la existencia de un perjuicio irreparable, para poder acordarse la suspensión de los actos impugnados en amparo, sostiene la fiscal que en el presente caso la recurrente solicita la suspensión “sin explicitar ninguna razón que permita afirmar que la continuación del procedimiento judicial incluso con desplazamiento posesorio, provoque un perjuicio determinante de la pérdida de la finalidad del recurso de amparo. No obstante, para conseguir el efecto protector deseado por la recurrente y enervar los indeseados efectos de la paralización del procedimiento, se puede acordar la anotación preventiva de la demanda de amparo en el registro de la propiedad, ya que de esta manera se daría publicidad frente a terceros de la pendencia del recurso, lo que conlleva el conocimiento de los efectos que sobre la titularidad de la vivienda puede tener el otorgamiento del amparo en su caso, evitando que el hipotético adquirente queda especialmente protegido por su buena fe en la adquisición”. Cita en apoyo de su petición el art. 56.3 LOTC, que permite al Tribunal adoptar toda medida que evite que el recurso de amparo pueda perder su finalidad, así como el ATC 2/2019, de 9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Insiste finalmente en que es procedente la medida de anotación preventiva, pues de lo contrario “la tutela que pudiera otorgarse por este tribunal no sería completa si se deja abierta la posibilidad de que la finca sea transmitida a tercero de buena fe mientras se sustancia y resuelve el presente proceso de amparo, por lo que se interesa” su adopción.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59-2018 seguido en el Juzgado de Primera Instancia e Instrucción núm. 6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la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dicha entidad mercantil, como tampoco sobre las características, destino y estado posesorio del inmueble hipotecado. En tales circunstancias, no es posible afirmar que la continuación del curso del procedimiento judicial, incluso con un desplazamiento posesorio, provoque por sí solo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hiciera irreivindicable; situación a la que se hace referencia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FJ 3; 88/2018, de 17 de septiembre, FJ 5, y 2/2019, de 9 de enero, FJ 4; así como en los AATC 85/2019, de 15 de julio, y 91/2019 a 94/2019, todos ellos del 18 de julio; a propósito de otros procedimientos hipotecarios seguidos ante el Juzgado núm. 3 de Lorca, donde se plantearon los mismos argumentos que aquí para solicitar la suspensión por la otra entidad ejecutada.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y que,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59-2018 seguido en el Juzgado de Primera Instancia e Instrucción núm. 6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