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Segunda</w:t>
      </w:r>
      <w:r w:rsidRPr="008B7AB5" w:rsidR="008B7AB5">
        <w:rPr>
          <w:b/>
        </w:rPr>
        <w:t xml:space="preserve">. Auto </w:t>
      </w:r>
      <w:r>
        <w:rPr xmlns:w="http://schemas.openxmlformats.org/wordprocessingml/2006/main">
          <w:b/>
          <w:szCs w:val="24"/>
        </w:rPr>
        <w:t>128</w:t>
      </w:r>
      <w:r w:rsidRPr="008B7AB5" w:rsidR="008B7AB5">
        <w:rPr>
          <w:b/>
          <w:szCs w:val="24"/>
          <w:lang w:val="es-ES_tradnl"/>
        </w:rPr>
        <w:t>/</w:t>
      </w:r>
      <w:r>
        <w:rPr xmlns:w="http://schemas.openxmlformats.org/wordprocessingml/2006/main">
          <w:b/>
          <w:szCs w:val="24"/>
        </w:rPr>
        <w:t>2019</w:t>
      </w:r>
      <w:r w:rsidRPr="008B7AB5" w:rsidR="008B7AB5">
        <w:rPr>
          <w:b/>
        </w:rPr>
        <w:t xml:space="preserve">, </w:t>
      </w:r>
      <w:r>
        <w:rPr xmlns:w="http://schemas.openxmlformats.org/wordprocessingml/2006/main">
          <w:b/>
          <w:szCs w:val="24"/>
        </w:rPr>
        <w:t>de 28 de octubre de 2019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Segunda del Tribunal Constitucional compuesta por la magistrada doña Encarnación Roca Trías, presidenta y los magistrados don Fernando Valdés Dal-Ré, don Juan Antonio Xiol Ríos, don Pedro José González-Trevijano Sánchez, don Antonio Narváez Rodríguez y don Ricardo Enríquez Sancho, en el recurso de amparo núm. 1985-2019, promovido por la entidad Euro Inversiones Inmobiliarias Costa Sur, S.L., ha dictado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marzo de 2019, tuvo entrada en el registro general de este Tribunal Constitucional un escrito de la procuradora doña Blanca Berriatua Horta, en representación de la entidad Euro Inversiones Inmobiliarias Costa Sur, S.L., por el que interpuso recurso de amparo contra el auto de 17 de septiembre de 2018, del Juzgado de Primera Instancia e Instrucción núm. 6 de Lorca, que inadmitió el escrito de oposición a la ejecución hipotecaria promovida por Banco de Sabadell, S.A., y contra el auto del mismo juzgado, de 11 de febrero de 2019, que desestimó el recurso de reposición interpuesto contra la anterior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hechos relevantes para la resolución de esta pieza de suspensión, son los siguientes: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Con fecha 17 de septiembre de 2018, el Juzgado de Primera Instancia e Instrucción ya indicado dictó un auto en el procedimiento de ejecución hipotecaria núm. 59-2018 por el que acordó: “Inadmitir a trámite la oposición formulada por la parte ejecutada Euro Inversiones Inmobiliarias Costa Sur, S.L., y Penrei Inversiones, S.L.”, advirtiendo en pie de recurso que contra dicha resolución cabía recurso de reposición.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juzgado basó su decisión, conforme a su fundamento de Derecho único, en lo siguiente: “Se establece en el artículo 134 de la Ley de enjuiciamiento civil (LEC), la improrrogabilidad de los plazos establecidos en la misma, y en el artículo 136 LEC, que transcurrido o pasado el término señalado para la realización de un acto procesal de parte se producirá la preclusión y se perderá la oportunidad de realizar el acto de que se trate, y previniéndose en el artículo 695 LEC, que el escrito de oposición a la ejecución deberá ser presentado dentro de los diez días siguientes al de la notificación del auto y decreto por el que se despacha ejecución y/o de la medida concreta de ejecución, y constando en el presente supuesto que la parte ejecutada se ha opuesto pasado que ha sido el plazo que legalmente se le otorga, debe ser inadmitida su oposición por extemporánea, de conformidad con lo establecido en los preceptos citados”.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b) Formalizado contra dicho auto recurso de reposición por la entidad aquí demandante de amparo, el juzgado a quo dictó auto el 11 de febrero de 2019 desestimándolo, con confirmación de la resolución recurrida, en virtud de los motivos expresados en su razonamiento jurídico segundo: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“[S]iendo indiscutible la condición de personas jurídicas de las recurrentes, las mismas desde el 1 de enero de 2017 (disposición transitoria cuarta de la Ley 42/2015, de 5 de octubre, de reforma de la Ley de enjuiciamiento civil) están obligadas a relacionarse con la administración de justicia por medios electrónicos [art. 14. 2 a) de la Ley 39/2015 de la Ley de procedimiento administrativo común de las administraciones públicas y art. 273. 3 a) LEC]. Interpretan los recurrentes de forma errónea la normativa aplicable”. Se citan al respecto los arts. 162.2 LEC y 33.2 y 34 de la Ley 18/2011, de 5 de julio, reguladora del uso de las tecnologías de la información y la comunicación en la administración de justicia; el art. 11.2 del Real Decreto 1065/2015, de 27 de noviembre, sobre comunicaciones electrónicas en la administración de justicia en el ámbito territorial del Ministerio de Justicia y por el que se regula el sistema LexNet; y el acuerdo no jurisdiccional del Pleno de la Sala Cuarta del Tribunal Supremo, de 6 de julio de 2016. Tras ello el auto señala: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el presente caso, consta que la notificación se puso a disposición de las recurrentes en fecha 30 de mayo de 2018 no accediendo al contenido hasta el día 15 de julio de 2018 (fuera de los diez días naturales), presentando los escritos de oposición a la ejecución en fecha 24 de julio de 2018 claramente fuera del plazo legalmente establecido en el art. 556. 1 LEC (dentro de los diez días siguientes al de la notificación del auto despachando ejecución,) y siendo que conforme al art. 136 LEC transcurrido o pasado el término señalado para la realización de un acto procesal de parte se producirá la preclusión y se perderá la oportunidad de realizar el acto de que se trate, es claro que dichas oposiciones son extemporáneas siendo la consecuencia legal la inadmisión”.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El auto traía el siguiente pie de recurso: “Notifíquese esta resolución a las partes personadas, haciéndoles saber que es firme, y contra la misma no cabe recurso alguno”.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 de amparo alega que las resoluciones judiciales impugnadas causan la vulneración de los derechos a la tutela judicial efectiva (art. 24.1 CE) y a un proceso con todas las garantías (art. 24.2 CE) de la entidad recurrente, al haberse efectuado su emplazamiento como ejecutada en el procedimiento hipotecario de referencia, a través de un correo electrónico remitido por un servicio de notificaciones electrónicas, tratándose de su primer emplazamiento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Se reconoce que si bien la recurrente, por ser una persona jurídica, viene por ello obligada a relacionarse con la administración de justicia a través de medios electrónicos, no obstante cuando es el primer emplazamiento y por tanto todavía aquella “no ha tenido ninguna relación con el Juzgado correspondiente en este especial y concreto procedimiento”, ha de practicarse mediante cédula con entrega en papel de la documentación correspondiente, conforme establece el art. 273 LEC, en relación con los arts. 135, 152, 162 y 155 LEC. Este último, precisa, “es categórico al respecto ya que en su punto primero nos indica que cuando las partes no actúen representadas por procurador o se trate del primer emplazamiento o citación al demandado, los actos de comunicación se harán por remisión al domicilio de los litigantes”. Añade que incluso la notificación realizada tampoco cumple con las formalidades de las comunicaciones electrónicas, dando su interpretación sobre el alcance de las normas aplicables. Cita también las SSTC 326/1993, de 8 de noviembre, y la 131/2014, de 21 de julio, sobre el derecho a no padecer indefensión en materia de actos de comunicación. Concluye diciendo que la omisión correcta del primer emplazamiento le ha supuesto un perjuicio real y efectivo para ejercitar su defensa, por lo que procede declarar la nulidad de los actos posteriores al emplazamiento, debiendo volverse a practicarse este último. Insiste en que se ha producido una vulneración de los derechos fundamentales del art. 24 CE, en concreto el derecho a la defensa y a la asistencia letrada.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Sobre el auto del 11 de febrero de 2019 que desestimó la reposición, se rechaza por la recurrente que haya fundamentado su decisión en la ley de procedimiento administrativo común, puesto que en cada uno de los órdenes jurisdiccionales existe una normativa propia en esta materia. Y rechaza que pueda fundarse la inadmisión, como indica el Juzgado, en la interpretación que éste hace de los preceptos que al efecto cita.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En consecuencia, se solicita que este Tribunal Constitucional, con estimación del amparo, acuerde la nulidad de ambas resoluciones judiciales y ordene reponer las actuaciones al momento previo al dictado de la primera de aquéllas, a fin de que el juzgado a quo admita a trámite la oposición al despacho de ejecución formulada.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medio de un “segundo otrosí digo”, el escrito de demanda argumentó “que la continuación de la ejecución derivadas [sic] de los pronunciamientos judiciales que han sido objeto de impugnación, con la celebración de subasta y la eventual adjudicación a terceros, pueden hacer perder al recurso de amparo su finalidad, por lo que solicito la suspensión de la continuación del procedimiento de ejecución hipotecaria 59-2018 seguido ante el Juzgado de Primer Instancia e Instrucción número 6 de Lorca, hasta tanto sea resuelto el presente recurso de amparo, poniéndolo en conocimiento del órgano judicial”.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El Presidente de la Sala Primera de este Tribunal Constitucional adoptó el 6 de mayo de 2019, el acuerdo de conexión entre los recursos de amparo núms. 1984-2018 y 1985-2019, “inicialmente turnados, respectivamente, a la Sala Primera y Segunda de este Tribunal”, dada la conexión objetiva entre ambos, disponiendo que prosiguiera su tramitación conjunta ante la Sala Segunda, “debiendo ser turnados al mismo ponente”.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Sección Cuarta de este Tribunal Constitucional, dictó providencia el 16 de septiembre de 2019 del siguiente tenor:</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Sección Cuarta ha examinado el recurso de amparo y ha acordado admitirlo a trámite, apreciando que concurre en el mismo una especial trascendencia constitucional (art. 50.1 LOTC) toda vez que el recurso puede dar ocasión al Tribunal para aclarar o cambiar su doctrina, como consecuencia de cambios normativos relevantes para la configuración del contenido del derecho fundamental [STC 155/2009, FJ 2 b)].</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ello, en aplicación de lo dispuesto en el art. 51 LOTC, diríjase atenta comunicación al Juzgado de Primera Instancia e Instrucción núm. 6 de Lorca a fin de que, en méritos al procedimiento de ejecución hipotecaria núm. 59-2018, proceda a emplazarse, para que en el plazo de diez días puedan comparecer, si lo desean, en el recurso de amparo a quienes hubieran sido parte en el procedimiento, excepto la parte recurrente en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De conformidad con la solicitud de la parte actora, fórmese la correspondiente pieza separada de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Por nueva providencia dictada por la Sección Cuarta de este Tribunal en la misma fecha de la admisión del recurso, el 16 de septiembre de 2019, se dispuso “formar con la precedente fotocopia, la oportuna pieza para la tramitación del incidente sobre suspensión y conforme determina el artículo 56 de la Ley Orgánica de este Tribunal, conceder un plazo común de tres días a la parte recurrente y al Ministerio Fiscal para que aleguen lo que estimen pertinente sobre dicha suspensión”.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representación procesal de la entidad recurrente presentó su escrito de alegaciones con fecha 25 de septiembre de 2019, interesando se acceda a lo solicitado en cuanto a la suspensión del procedimiento de ejecución hipotecaria referido.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 tal efecto alega que la continuación de tal procedimiento, “con la celebración de subasta y la eventual adjudicación a terceros o en su caso fuera adjudicada a la propia demandante del procedimiento de ejecución hipotecaria, harían perder al recurso de amparo su finalidad y provocarían perjuicios patrimoniales para mi representada de imposible o difícil reparación”. Invoca a su favor lo resuelto por este Tribunal en su ATC 287/2013, de 16 de diciembre, reiterando a renglón seguido las vulneraciones constitucionales de fondo que aduce en su demanda, e indicando que el celebrarse la subasta y la posible adjudicación del bien inmueble a terceros de buena fe, con “desposesión del bien ejecutado, conllevaría a situaciones irreversibles, con un inevitable perjuicio para mi representada”.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Por su parte, el fiscal ante este Tribunal Constitucional formalizó su escrito de alegaciones en esta pieza el 30 de septiembre de 2019, interesando que adoptemos únicamente la medida de anotación preventiva de la demanda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Tras hacer cita del art. 56.1 LOTC, así como de doctrina general de este Tribunal acerca del principio general de no suspensión, el carácter restrictivo de esta medida, y su aplicación solo a los supuestos de perjuicio irreparable, entre los que con carácter general no se hallan las condenas de contenido patrimonial, señala el fiscal que en el presente caso la solicitud de suspensión “no parece muy fundamentada por la propia recurrente, ya que se limita a la mera petición sin explicitar ninguna razón salvo la mera pérdida de finalidad del recurso en el caso de que llegara a celebrarse la subasta de los bienes inmuebles en conflicto y su adjudicación a un tercero que actuaría de buena fe. Acordar la suspensión solicitada comportaría la drástica medida que supondría la paralización del procedimiento ejecutivo, que por su propia naturaleza goza de las características de celeridad y sumariedad. Mucho más eficaz para conseguir el efecto protector deseado por la recurrente sería la anotación preventiva de la demanda de amparo en el registro de la propiedad, ya que de esta manera se daría publicidad frente a terceros de la pendencia del recurso, lo que conlleva el conocimiento de los efectos que sobre la titularidad de la vivienda puede tener el otorgamiento del amparo en su caso, evitando que el hipotético tercero adquirente queda especialmente protegido por su buena fe en la adquisición”.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Añade que la procedencia de la medida de anotación preventiva es indudable, a tenor del art. 56.3 LOTC y la propia doctrina del Tribunal, con cita del ATC 95/2015, de 25 de mayo, FJ 4. Finalmente reitera que el presente caso no justifica la suspensión del proceso de ejecución solicitada, pero sí la anotación preventiva de la demanda.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objeto de esta pieza de suspensión consiste en determinar la procedencia o no de la medida cautelar instada por la parte recurrente en amparo y dirigida frente al procedimiento de ejecución hipotecaria núm. 59-2018 seguido en el Juzgado de Primera Instancia e Instrucción núm. 6 de Lorca.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El art. 56.2 de la Ley Orgánica del Tribunal Constitucional (LOTC), en la redacción dada por Ley Orgánica 6/2007, de 24 de mayo, dispone que “cuando la ejecución del acto o sentencia impugnados produzca un perjuicio al recurrente que pudiera hacer perder al amparo su finalidad, la Sala, o la Sección en el supuesto del artículo 52.2, de oficio o a instancia del recurrente, podrá disponer la suspensión, total o parcial, de sus efectos, siempre y cuando la suspensión no ocasione perturbación grave a un interés constitucionalmente protegido, ni a los derechos fundamentales o libertades de otra persona”.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Esa suspensión, en todo caso, no puede ocasionar ninguna perturbación grave a un interés constitucionalmente protegido, ni a los derechos fundamentales o libertades de otra persona, razón por la que se configura como una medida de carácter excepcional y de aplicación restrictiva (por todos, AATC 117/2015, de 6 de julio, FJ 1, y 59/2017, de 24 de abril,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Adicionalmente, este Tribunal viene exigiendo a quien solicita la adopción de la medida cautelar de suspensión del acto o resolución judicial recurrido que alegue, pruebe o justifique, ofreciendo un principio razonable de prueba, el carácter no reparable o la dificultad de la reparación de los perjuicios de seguirse la ejecución del acto impugnado, y ello, con el objeto de mostrar que la ejecución del acto recurrido puede privar a la demanda de amparo de su finalidad, provocando que el restablecimiento del recurrente en el derecho constitucional vulnerado sea tardío y convirtiendo en meramente ilusorio y nominal el amparo [AATC 90/2014, de 27 de marzo, FJ 1; 190/2015, de 5 de noviembre, FJ 2 a); 59/2017, de 24 de abril, FJ 1, y 147/2017, de 13 de noviembre, FJ 1].</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Interesa subrayar que una consolidada doctrina constitucional, de la que son buena muestra, entre otros muchos, los AATC 220/2008, de 14 de julio, FJ 2, y 64/2009, de 23 de febrero, FJ 2, o los más recientes AATC 56/2013, de 25 de febrero, FJ 2; 74/2013, de 8 de abril, FJ 2; 152/2013, de 8 de julio, FJ 2; 37/2014, de 10 de febrero, FJ 2; 282/2014, de 17 de noviembre, FJ 3, y 59/2015, de 16 de marzo, FJ 2, ha admitido la procedencia de acordar la suspensión de aquellas resoluciones judiciales cuya “ejecución conlleva el embargo y adjudicación a un tercero de buena fe de ciertos bienes inmuebles o el desalojo de viviendas o locales de negocio y, en general, la transmisión del dominio sobre aquéllos, con la consiguiente consolidación de una posición jurídicamente inatacable o de muy difícil y costoso restablecimiento”.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aplicación al caso aquí planteado de la doctrina de la que se ha hecho mención permite concluir, de acuerdo con el fiscal, que resulta improcedente la suspensión solicitada y, por el contrario, aparece como medida idónea la anotación preventiva de la demanda de amparo en el registro de la propiedad.</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La parte recurrente se limita a poner de manifiesto, genéricamente, que la eventual adjudicación a terceros puede hacer perder al recurso de amparo su finalidad, sin añadir indicación alguna sobre la situación y circunstancias de dicha entidad mercantil, como tampoco sobre las características, destino y estado posesorio del inmueble hipotecado. En tales circunstancias, no es posible afirmar que la continuación del curso del procedimiento judicial, incluso con un desplazamiento posesorio, provoque por sí solo un perjuicio determinante de la pérdida de la finalidad del presente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Por el contrario, el Tribunal entiende que las circunstancias que presenta el supuesto sometido a consideración llevan a estimar la procedencia de acordar, de modo alternativo, la medida cautelar de anotación preventiva de la demanda de amparo en el registro de la propiedad, en cuanto se reputa medida idónea para evitar el perjuicio derivado de que la adquisición del bien por tercero lo hiciera irreivindicable; situación a la que se hace referencia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Esta misma ha sido la solución acogida recientemente, entre otros, en los AATC 106/2017, de 17 de julio, FJ 3; 88/2018, de 17 de septiembre, FJ 5, y 2/2019, de 9 de enero, FJ 4; así como en los AATC 85/2019, de 15 de julio, y 91/2019 a 94/2019, todos ellos del 18 de julio; a propósito de otros procedimientos hipotecarios seguidos ante el Juzgado núm. 3 de Lorca, donde se plantearon los mismos argumentos que aquí para solicitar la suspensión por la otra entidad ejecutada.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Cabe recordar que se trata de una medida cautelar que este Tribunal, de conformidad con el art. 56 LOTC, puede adoptar de oficio o a instancia de parte, con fundamento en el art. 42.1 de la Ley hipotecaria, y que, de acuerdo con el ATC 95/2015, de 25 de mayo, FJ 4, “una de cuyas finalidades es que el registro de la propiedad sea fiel trasunto de la realidad jurídica —en este caso, la pendencia del presente proceso constitucional— y, por ende, un eficaz instrumento de seguridad jurídica (ATC 18/2012, de 30 de enero, FJ 4; en la misma línea, AATC 282/2014, de 17 de noviembre, FJ 5; 29/2015, de 16 de febrero, FFJJ 3 y 4; 50/2015, de 2 de marzo, FJ 4, y 59/2015, de 16 de marzo, FJ 3)”.</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Nuestra decisión en esta materia se limita, en tal sentido, “a ordenar que se practique la anotación preventiva, remitiendo al órgano judicial la práctica de las actuaciones pertinentes para que pueda llevarse a efecto la medida, de conformidad con la legislación procesal e hipotecaria (AATC 257/2003, de 14 de julio, 406/2003, de 15 de diciembre, 230/2007, de 7 de mayo, FJ 3; 415/2007, de 5 de noviembre, FJ 4, y 217/2012, de 26 de noviembre, FJ 2)” [AATC 21/2018, de 5 de marzo, FJ 5, y 88/2018, de 17 de septiembre, FJ 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Los razonamientos anteriores, de conformidad con la doctrina expuesta, y sin prejuzgar la decisión de fondo del recurso, conducen a denegar la suspensión solicitada, y, alternativamente, a ordenar la anotación preventiva de la demanda de amparo en el registro de la propiedad.</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la Sala</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1º Denegar la suspensión cautelar solicitada del procedimiento de ejecución hipotecaria núm. 59-2018 seguido en el Juzgado de Primera Instancia e Instrucción núm. 6 de Lorca.</w:t>
      </w:r>
    </w:p>
    <w:p w:rsidRPr="" w:rsidR="00AD51A7" w:rsidRDefault="008777C4">
      <w:pPr>
        <w:rPr/>
      </w:pPr>
      <w:r w:rsidRPr="&lt;w:rPr xmlns:w=&quot;http://schemas.openxmlformats.org/wordprocessingml/2006/main&quot;&gt;&lt;w:szCs w:val=&quot;24&quot; /&gt;&lt;/w:rPr&gt;">
        <w:rPr/>
        <w:t xml:space="preserve"/>
      </w:r>
    </w:p>
    <w:p w:rsidRPr="" w:rsidR="00AD51A7" w:rsidRDefault="008777C4">
      <w:pPr>
        <w:rPr/>
      </w:pPr>
      <w:r w:rsidRPr="&lt;w:rPr xmlns:w=&quot;http://schemas.openxmlformats.org/wordprocessingml/2006/main&quot;&gt;&lt;w:szCs w:val=&quot;24&quot; /&gt;&lt;/w:rPr&gt;">
        <w:rPr/>
        <w:t xml:space="preserve">2º Ordenar la anotación preventiva de la demanda de amparo en el registro de la propiedad, a cuyo efecto el referido juzgado ha de expedir el mandamiento oportuno, para que pueda practicarse la misma en relación con el inmueble a que se refieren las presentes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veintiocho de octubre de dos mil diecinueve.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