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13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1974-2019 y 2065-2019, promovidos por el Gobierno vasco, respectivamente, contra la disposición adicional centésima vigésima y los apartados quinto y séptimo de la disposición final cuadragésima de la Ley 6/2018, de 3 de julio, de presupuestos generales del Estado para el año 2018, y contra la disposición transitoria octava y los apartados 2.d) y 2.e) de la disposición derogatoria única del Real Decreto-ley 28/2018, de 28 de diciembre, para la revalorización de las pensiones públicas y otras medidas urgentes en materia social, laboral y de empleo. Ha comparecido y formulado alegaciones el abogado del Estado.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26 de marzo de 2019, el Gobierno Vasco interpuso recurso de inconstitucionalidad contra la disposición adicional centésima vigésima y los apartados quinto y séptimo de la disposición final cuadragésima de la Ley 6/2018, de 3 de julio, de presupuestos generales del Estado para el año 2018. Ambas disposiciones se recurren por infracción del marco constitucional de distribución de competencias,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centésima vigésima crea y regula una medida de activación e inserción laboral denominada ayuda económica de acompañamiento dirigida a los inscritos en el sistema nacional de garantía juvenil con baja formación y que suscriban un contrato para la formación y el aprendizaje. El sistema nacional de garantía juvenil constituye un programa de fomento del empleo creado por la Ley 18/2014, de 15 de octubre, de aprobación de medidas urgentes para el crecimiento, la competitividad y la eficiencia, integrado consecuentemente en el ámbito de las políticas activas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recurre la atribución al Servicio Público de Empleo Estatal (SEPE) de la gestión de esta ayuda. Es sustancial su similitud con las ayudas de los programas de recualificación profesional de las personas que agoten su protección por desempleo (Prepara) y de activación para el empleo (PAE), objeto de las SSTC 100/2017, de 20 de julio; 153/2017, de 21 de diciembre, y 156/2017, de 21 de diciembre. Según esta doctrina, las ayudas allí examinadas se encuadran en el art. 149.1.13 CE, correspondiendo la gestión a las comunidades autónomas, con arreglo a la STC 13/1992, de 6 de febrero, FJ 8 b). Dada la regulación exhaustiva de estas ayudas, la actuación ejecutiva cuestionada consiste en una mera labor aplicativa de la norma estatal, por lo que no cabe apreciar que concurran las circunstancias excepcionales que pueden justificar la gestión centralizada [STC 100/2017,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directa y plenamente aplicable a la disposición ahora impugnada. La ayuda de acompañamiento regulada en la disposición adicional centésima vigésima tiene naturaleza jurídica de política activa de empleo (art. 36 del texto refundido de la Ley básica de empleo, aprobado por Real Decreto Legislativo 3/2015, de 23 de octubre), al constituir movilización de recursos financieros destinados a regular el mercado laboral y el pleno empleo (STC 153/2017, FJ 3). Aunque su financiación no se ubique en el programa 241A (fomento de la inserción y estabilidad laboral), sino en el programa 251M (prestaciones a desempleados), este argumento fue ya descartado en la STC 153/2017, por considerarlo un aspecto contable meramente instrumental que no determina la naturaleza jurídica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gestión corresponde al País Vasco de acuerdo con la citada doctrina y con lo dispuesto en el art. 10.25 del Estatuto de Autonomía para el País Vasco (EAPV). El vicio de inconstitucionalidad afecta a los siguientes aspectos: recepción de la solicitud (apartado 5.1) con el modelo diseñado por el Estado (apartado 5.2); gestión y resolución de reconocimiento o denegación (apartado 6.1); pago (apartado 3.6); recursos (apartado 6.3) y devoluciones (apartado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derogatoria única, apartado segundo e), del Real Decreto-ley 28/2018, de 28 de diciembre, para la revalorización de las pensiones públicas y otras medidas urgentes en materia laboral, social y de empleo, ha derogado la disposición adicional centésima vigésima objeto de este recurso. Pero establece un régimen temporal en la disposición transitoria octava conforme al cual la ayuda controvertida se mantiene en tres supuestos, en los que la gestión continúa correspondiendo al SEPE. Por lo tanto, el conflicto subsiste en aplicación de la doctrina sobre el ius superveniens (STC 5/2015, de 22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la disposición final cuadragésima, que modifica el texto refundido de la Ley general de la Seguridad Social aprobado por Real Decreto Legislativo 8/2015, de 30 de octubre (TRLGSS), se impugna el apartado quinto, que incorpora una nueva disposición adicional vigésima séptima al TRLGSS, para regular el subsidio extraordinario de desempleo, y el apartado séptimo, que incorpora la disposición transitoria trigésima al TRLGSS, relativa al acceso a dicho subsidio en determinados supuestos. En ambos casos se controvierte la gestión estatal del subsidio.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derogatoria única 2 d) del Real Decreto-ley 28/2018 únicamente afecta al carácter temporal del subsidio, convirtiendo la ayuda en indefinida. Esta modificación no altera el régimen de gestión, por lo que el conflicto sigue vivo.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ayuda económica que da continuidad al programa PAE y, en cierta  medida, al programa “Prepara”, como se constata en la comparación de los elementos esenciales de las ayudas de estos programas con el nuevo subsidio (beneficiarios, requisitos, condicionantes vinculados a las acciones en favor de la empleabilidad). La extensión retroactiva del subsidio al momento de finalización del programa “Prepara” abona la misma idea. Los cambios introducidos son menores, no hay solución de continuidad, no se desnaturaliza la búsqueda de la empleabilidad pretendida. El nuevo subsidio participa de la naturaleza de medida de fomento del empleo, y tiene perfecta cabida en el art. 36 del texto refundido de la Ley básica de empleo. Es aquí también de plena aplicación la doctrina de las SSTC 100/2017, 153/2017 y 156/2017, incurriendo en vulneración de competencias por los motivos ya explicitados en relación con la disposición adicional centésima vigésima. El cambio de denominación y su incorporación al TRLGSS no muta su naturaleza. Atendiendo a su específico contenido, sentido y finalidad [STC 100/2017, FJ 5 b)], el nomen iuris de este denominado subsidio es un subterfugio que intenta eludir la doctrina constitucional, buscando el apoyo en el criterio manifestado en los votos particulares a las citadas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subsidio materializa la revisión anunciada por el preámbulo y la disposición adicional segunda del Real Decreto-Ley 14/2017, aprobado con el fin de atribuir excepcional y temporalmente al SEPE la gestión de “Prepara” tras la STC 100/2017. Pero, a diferencia de esta norma, la regulación ahora impugnada se lleva a cabo sin aceptación por parte de las comunidades autónomas competentes y, en el caso de la Comunidad Autónoma del País Vasco, contrariando el convenio suscrito el 7 de febrero de 2018 con el SEPE (“BOE” de 19 de marzo y “BOPV” de 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en caso de encuadrarse la controversia en el art. 149.1.17 CE, este precepto abre la posible ejecución autonómica de los servicios de la Seguridad Social, asumida por la Comunidad Autónoma del País Vasco, ex art. 18, apartados 2.b) y 4, y la disposición transitoria quinta EAPV, por lo que la gestión del subsidio es igualmente autonómica. Sistema nacional de seguridad social no significa exclusividad competencial del Estado (STC 195/1996, de 28 de noviembre, FJ 14). La gestión autonómica de esta ayuda es conforme con la doctrina recogida en la STC 124/1989, de 7 de julio, FJ 3. Ante la regulación exhaustiva del Estado, la ejecución autonómica, previa habilitación por el Estado de los fondos precisos (STC 124/1989, FJ 6), es mera labor aplicativa consistente en comprobar el cumplimiento de los requisitos, librar los pagos y restantes aspectos de la gestión y control. Son rasgos que no permiten posibilidad alguna de que la gestión autonómica produzca resultados inadecuados por mor de su fraccionamiento. No influye por tanto en la unidad económico-patrimonial o la solidaridad financiera de la Seguridad Social; no tiene consecuencias sobre la caja única; y no engendra desigualdades entre los ciudadanos, al estar predefinidos por el Estado los beneficiarios y la cuantía de las percepciones, sin posibilidad alguna de modulación autonómica. Sin quebranto de la configuración constitucional del régimen económico de la Seguridad Social, hoy en día no existe una centralización absoluta de la gestión de sus fondos: las mutuas colaboradoras gestionan de facto determinadas prestaciones, y las comunidades autónomas ya gestionan las prestaciones no contributivas. La concepción aquí postulada coincide con la posición de los votos particulares a la STC 124/1989, y de algunos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vasca en ejecución del régimen económico de la Seguridad Social no es rara avis: está recogida en muchos estatutos de autonomía, desde los textos iniciales hasta la reciente reforma del Estatuto de Autonomía de Canarias mediante Ley orgánica 1/2018,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mayo de 2019 el Pleno, a propuesta de la Sección Cuarta, acordó admitir a trámite este recurso de inconstitucionalidad, registrado con el núm. 1974-2019; dar traslado de la demanda y documentos presentados al Congreso de los Diputados, al Senado y al Gobierno al objeto de que, en el plazo de quince días, pudieran personarse en el proceso y formular las alegaciones que estimaren convenientes (art. 34 de la Ley Orgánica del Tribunal Constitucional: LOTC);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29 de marzo de 2019, el Gobierno Vasco interpuso recurso de inconstitucionalidad contra la disposición transitoria octava y los apartados 2.d) y 2.e) de la disposición derogatoria única del Real Decreto-ley 28/2018, de 28 de diciembre, para la revalorización de las pensiones públicas y otras medidas urgentes en materia social, laboral y de empleo. Mediante otrosí, al amparo del art. 83 LOTC, solicitó la acumulación de este recurso de inconstitucionalidad con el registrado con el núm. 1974-2019. Habida cuenta de la identidad sustancial entre el objeto de este recurso y el registrado con el núm. 1974-2019, se remite a los argumentos allí expuestos, especificando las singularidades que pudieran derivarse del Real Decreto-ley 28/2018: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inconstitucionalidad de la disposición transitoria octava y del apartado sesgundo e) de la disposición derogatoria única deriva de que las ayudas reguladas por la disposición adicional centésima vigésima de la Ley 6/2018, ahora en régimen transitorio, siguen siendo gestionadas por el SEPE, por lo que la controversia no ha quedado resuelta en términos de la doctrina constitucional sobre el ius superveniens.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segundo d) de la disposición derogatoria única deroga el apartado séptima de la disposición adicional vigésima séptima TRLGSS, introducida por el apartado quinta de la disposición final cuadragésima de la Ley 6/2018. El apartado derogado contenía la vigencia temporal limitada del subsidio extraordinario de desempleo, vigencia que ahora pasa a ser indefinida. Pero al no alterarse el régimen de gestión a cargo del SEPE, también en este caso se constata que el conflicto sigue vivo.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2019 el Pleno, a propuesta de la Sección Cuarta, acordó admitir a trámite este recurso de inconstitucionalidad, registrado con el núm. 2065-2019; dar traslado de la demanda y documentos presentados al Congreso de los Diputados, al Senado y al Gobierno al objeto de que, en el plazo de quince días, pudieran personarse en el proceso y formular las alegaciones que estimaren convenientes (art. 34 LOTC); oír a las partes, en el mismo plazo, sobre la posible acumulación de este recurso con el núm. 1974-2019;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sendos escritos registrados el 16 de mayo de 2019, en la representación que legalmente ostenta, solicitó que se le tuviera por personado en los referidos recursos de inconstitucionalidad, y una prórroga del plazo para formular alegaciones, que le fue concedida por diligencia de ordenación de la misma fecha, por plazo de ocho días a contar desde el siguiente al de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Congreso de los Diputados, mediante escritos registrados el 23 de mayo de 2019, y el presidente del Senado, mediante escritos registrados el 31 de mayo de 2019, comunicaron que las mesas de esas cámaras habían acordado darse por personadas en ambos procedimientos, ofreciendo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las alegaciones al recurso de inconstitucionalidad núm. 1974-2019 con fecha 13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Opone en primer lugar una objeción de inadmisibilidad, por cuanto la disposición final cuadragésima regula el subsidio extraordinario de desempleo sin determinar, en ninguno de sus apartados, la competencia para su gestión. El recurso, sin cuestionar que el Estado pueda regular un subsidio como este, se califique como prestación por desempleo o como ayuda integrada en las políticas activas de empleo, dirige la crítica de inconstitucionalidad a lo que la disposición impugnada no regula: su gestión centralizada por el SEPE.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comienza por recordar la doctrina constitucional sobre la integración de las prestaciones de desempleo en el sistema de seguridad social y la necesidad de garantizar y tutelar, en su conjunto, la caja única de la Seguridad Social como garantía de la unidad del sistema y de la solidaridad (con cita de las SSTC 104/2013, de 25 de abril, y 272/2015, de 17 de diciembre). Específicamente sobre las disposiciones impugnadas,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Disposición adicional centésima vigésima: la ayuda de acompañamiento para jóvenes inscritos en el sistema nacional de garantía juvenil que suscriban un contrato de formación y aprendizaje se encuadra en el título competencial del art. 149.1.17 CE. Hace suyos en este punto los votos particulares a las SSTC 100/2017, 153/2017, y 156/2017.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encuadramiento se deduce también de otros factores a considerar: (i) la propia regulación de la ayuda, pues si se tratase de una subvención pública no podría compensarse con otras prestaciones por desempleo, como recoge el apartado séptimo 3; (ii) los fondos de los que se nutre el sistema nacional de garantía juvenil creado por la Ley 18/2014, en una partida presupuestaria incluida en el programa 251M-prestaciones a los desempleados; y (iii) a diferencia de los programas “Prepara” y PAE, no se regula como una subvención de adjudicación directa en el marco de la ley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si se considera que el título competencial aplicable es el art. 149.1.13 CE, se cumplirían los requisitos exigidos por la jurisprudencia constitucional para la gestión centralizada de esta ayuda (con cita de la STC 13/1992). El sistema nacional de garantía juvenil deriva de políticas europeas, está cofinanciado con cargo a la iniciativa de empleo juvenil y el fondo social europeo. La gestión centralizada trata de asegurar que ningún tipo de dificultad financiera ponga en riesgo el abono en tiempo y forma de las ayudas a sus beneficiarios, evitando que se puedan crear diferencias en la percepción de las ayudas por razón del territorio. En el contexto de la situación económica actual, de limitaciones presupuestarias, y ante el enorme drama social y personal que supone el desempleo juvenil, se justifica que sea el Estado el que asuma la gestión centralizada de estas ayudas cuya cuantía puede variar según las circunstancias históricas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Disposición final cuadragésima: a diferencia de los programas “Prepara” y PAE, el subsidio extraordinario de desempleo no presenta vinculación con las políticas activas de empleo. La disposición se limita a recordar los requisitos exigidos con carácter general para la percepción de las prestaciones de desempleo. Su ámbito de aplicación es mucho mayor que el que resultaría de una mera sucesión de estos programas, y su finalidad es la protección frente al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reitera lo dicho sobre el encuadramiento en el art. 149.1.17 CE y en particular, en relación con la pretensión subsidiaria del recurso en cuanto al reconocimiento de la gestión autonómica en este ámbito competencial, se invoca la doctrina constitucional citada en el voto particular a la STC 100/2017.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abogado del Estado al recurso de inconstitucionalidad núm. 2065-2019, registradas el 13 de junio de 2019, plantean en primer lugar una objeción de inadmisibilidad, por cuanto del recurso no se desprende crítica competencial a que el Estado pueda bien regular supuestos transitorios de la ayuda de acompañamiento del sistema nacional de garantía juvenil, bien derogarla. Tampoco se discute el carácter indefinido del subsidio extraordinario de desempleo. Los reproches de la demanda se dirigen a la gestión por el SEPE de tales ayuda y subsidio, aspecto no regulado en las normas impugnadas en este recurso. Existe por tanto una falta de conexión entre la tacha de inconstitucionalidad de la demanda —la atribución de la competencia de gestión al SEPE— y el objeto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obstante, reitera los argumentos esgrimidos en las alegaciones formuladas al recurso de inconstitucionalidad 1974-2019 y que han quedado resumidos en el antecedente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ATC 90/2019, de 16 de julio, el Pleno acordó acumular el recurso de inconstitucionalidad núm. 2065-2019 al recurso de inconstitucionalidad núm. 1974-2019.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noviembre de 2019, se señaló para deliberación y votación del presente recurso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Esta resolución tiene por objeto resolver dos recursos de inconstitucionalidad promovidos por el Gobierno vasco: de una parte, contra la disposición adicional centésima vigésima y los apartados quinto y séptimo de la disposición final cuadragésima de la Ley 6/2018, de 3 de julio, de presupuestos generales del Estado para el año 2018 (LPGE 2018), registrado con el núm. 1974-2019; de otra parte, contra la disposición transitoria octava y los apartados 2.d) y 2.e) de la disposición derogatoria única del Real Decreto-ley 28/2018, de 28 de diciembre, para la revalorización de las pensiones y otras medidas urgentes en materia social, laboral y de empleo (registrado con el núm. 2065-2019).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petición del Gobierno vasco, estos recursos fueron acumulados mediante ATC 90/2019, de 16 de julio, por apreciar conexión en su objeto. La disposición adicional centésima vigésima LPGE 2018 ha quedado derogada por la disposición derogatoria única segunda e) del Real Decreto-ley 28/2018, “sin perjuicio de lo previsto en la disposición transitoria octava de este real decreto-ley”. El apartado séptimo de la disposición adicional vigésima séptima incorporada al TRLGSS por el apartado quinto de la disposición final cuadragésima de la Ley 6/2018, ha quedado asimismo derogado por la disposición derogatoria única 2.d) del Real Decreto-ley 28/2018.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recursos coinciden asimismo en su fundamento impugnatorio, al considerar vulneradas las competencias de la Comunidad Autónoma del País Vasco. Concretamente, se alega : (i) que la atribución al Servicio Público de Empleo Estatal (SEPE) de las funciones de gestión de la ayuda de acompañamiento para jóvenes inscritos en el sistema nacional de garantía juvenil que suscriban un contrato de formación y aprendizaje vulnera el art. 10.25 del Estatuto de Autonomía para el País Vasco (EAPV) y se aparta de la doctrina recogida en las SSTC 100/2017, de 2 de julio, 153/2017, de 21 de diciembre, y 156/2017, de 21 de diciembre; (ii) que la gestión estatal (asimismo a cargo del SEPE) del subsidio extraordinario de desempleo incurre en idéntica vulneración. Subsidiariamente, en caso de encuadrarse la controversia relativa a este subsidio en el ámbito del art. 149.1.17 CE, su gestión compete igualmente a la comunidad autónoma, en virtud de lo dispuesto por el art. 18, apartados 2.b) y 4, y la disposición transitoria quinta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en primer lugar objeciones a la admisión de estos recursos y, en segundo lugar, insta su íntegra desestimación. En cuanto al fondo, considera que tanto la ayuda como el subsidio deben encuadrarse en el ámbito del art. 149.1.17 CE. En la opción, que plantea como subsidiaria, de encuadramiento en el art. 149.1.13 CE, alega que concurren las circunstancias excepcionales que, según la doctrina constitucional, justifican la gestión centralizada de ayudas y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delimitar el objeto de este proceso acumulado y examinar los óbices de admisibilidad opuestos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disposición adicional centésima vigésima de la Ley de presupuestos generales del Estado 2018 (LPGE 2018), la demanda no cuestiona la regulación sustantiva contenida en la misma. Circunscribe expresamente el vicio de inconstitucionalidad que denuncia al régimen de gestión centralizada de la ayuda de acompañamiento para jóvenes inscritos en el sistema nacional de garantía juvenil que suscriban un contrato de formación y aprendizaje. El reproche se concreta en los siguientes apartados, únicos que conforman el objeto impugnado: recepción de la solicitud (apartado 5.1), con el modelo diseñado por el Estado (apartado 5.2); gestión y resolución de reconocimiento o denegación (apartado 6.1); pago (apartado 4.6); recursos (apartado 6.3) y devoluciones (apartado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así por la comunidad autónoma recurrente este objeto del recurso núm. 1974-2019, es preciso tener en cuenta que, antes de su interposición, la disposición adicional centésima vigésima LPGE 2018 quedó derogada por la disposición derogatoria única 2.e) del Real Decreto-ley 28/2018, “sin perjuicio de lo previsto en la disposición transitoria octava de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como regla general, la derogación previa implicaría la carencia de objeto ab initio, pues la función del recurso de inconstitucionalidad es enjuiciar los textos legales que no se encuentren expresamente derogados (STC 11/1981, de 8 de abril, FJ 4), este criterio admite modulaciones cuando, como es el caso, la derogación no ha supuesto la expulsión de la norma impugnada del ordenamiento jurídico, o su modificación por otra diferente que despeje la controversia trabada. En efecto, el inciso de la disposición derogatoria única 2.e) del Real Decreto-ley 28/2018 que ha quedado transcrito comporta la ultraactividad de la disposición adicional centésima vigésima LPGE 2018, que —vía la disposición transitoria octava del Real Decreto-ley 28/2018— mantiene temporalmente su vigencia, al reconocer el derecho a percibir la ayuda de acompañamiento: (i) a quienes, a la entrada en vigor del real decreto-ley, ya tuvieran la condición de beneficiarios; (ii) a quienes la hubieran solicitado antes de esa fecha y tuvieran derecho a obtenerla; (iii) y a quienes, antes de la entrada en vigor de este real decreto-ley, hubieran celebrado un contrato para la formación y el aprendizaje que dé derecho a la obtención de la ayuda y, reuniendo los requisitos necesarios, la soliciten.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del derecho a la percepción de las ayudas para los tres colectivos enumerados en la disposición transitoria octava del Real Decreto-ley 28/2018 se hace sin alterar en ningún momento el régimen de gestión regulado en la disposición adicional centésima vigésima LPGE 2018, por lo que cabe concluir que no hay vacío legislativo, pues el Real Decreto-ley 28/2018 mantiene la gestión del SEPE para esos tres supuestos, lo que se traduce en: el pago periódico de los ya beneficiarios (apartado 4.6 de la disposición adicional centésima vigésima), el reconocimiento o denegación de las ayudas en trámite (apartado 6.1 de la disposición adicional centésima vigésima), o la tramitación y resolución de las nuevas solicitudes (apartado 5.1 de la disposición adicional centésima vigésima). La misma conclusión debe extenderse a los restantes apartados de la disposición adicional centésima vigésima LPGE 2018 objeto de controversia, por regular aspectos formales (modelo de impresos de solicitud) o complementarios (régimen de recursos y exigencia de devolución de las prestaciones indebidamente percibidas).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entrar en el examen de fondo de los apartados de la disposición adicional centésima vigésima LPGE 2018 objeto de impugnación, al apreciar que su derogación ha quedado modulada por la disposición transitoria octava del Real Decreto-ley 28/2018, permaneciendo viva la controversia. De forma análoga a lo concluido en la STC 100/2017, de 20 de julio, FJ 2, esta disposición transitoria integra su contenido con la disposición adicional centésima vigésima LPGE 2018, a la que dota de vigencia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quinto de la disposición final cuadragésima LPGE 2018 incorpora al texto refundido de la Ley general de la Seguridad Social aprobado por Real Decreto Legislativo 8/2015, de 30 de octubre (TRLGSS), una nueva disposición adicional vigésima séptima, que regula el subsidio extraordinario de desempleo. El apartado séptimo de la disposición final cuadragésima LPGE 2018 incorpora al TRLGSS la disposición transitoria trigésima, que regula el acceso a dicho subsidio en determinados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la demanda discute únicamente la gestión estatal de este subsidio, pero sin precisar los apartados en los que concreta la impugnación. Debe por ello el Tribunal delimitar el objeto impugnado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la disposición adicional vigésima séptima TRLGSS: el apartado 5.c) que atribuye al SEPE el pago periódico del subsidio (aquí denominado “ayuda económica”); y el apartado sexto, que por remisión al título III del texto refundido de la Ley general de la Seguridad Social atribuye al SEPE las restantes funciones de gestión, al estar así dispuesto en el art. 294.1 TRLGSS.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disposición transitoria trigésima TRLGSS será examinada únicamente en cuanto conecta expresamente con la disposición adicional vigésima séptima TRLGSS, en la reducida dimensión de aspectos relativos a la gestión estatal que ha quedado previamente acotada.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objeto impugnatorio relativo al subsidio extraordinario de desempleo no se ve afectado por la disposición derogatoria única, apartado 2.d), del Real Decreto-ley 28/2018. La derogación afecta solo al apartado séptimo de la disposición adicional vigésima séptima TRLGSS, que regula la vigencia temporal del subsidio sin referencia alguna a su régimen de gestión, siendo en consecuencia ajeno a los términos en los que ha quedado trabada esta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Sirve cuanto ha quedado expuesto para rechazar los óbices de admisibilidad opuestos por el abogado del Estado. Apreciada la directa conexión entre las disposiciones impugnadas en los dos recursos (ATC 90/2019), y una vez delimitado el objeto de enjuiciamiento según se ha detallado en los apartados anteriores, es claro que en este proceso acumulado se plantea una controversia competencial, ceñida al régimen de gestión tanto de la ayuda de acompañamiento para jóvenes inscritos en el sistema nacional de garantía juvenil que suscriban un contrato de formación y aprendizaje como del subsidio extraordinario de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en el momento de examinar el fondo de la controversia cuando el Tribunal deba pronunciarse sobre la existencia o inexistencia de la lesión competencial denunciada y, en su caso, sobre su proyección en el contenido normativo de cada una de las disposiciones objeto de la impugnación, pero es una cuestión que, en un recurso de inconstitucionalidad, no cabe resolver por vía de inadmisión, como propone el abogado del Estado. Cabe añadir que la técnica legislativa consistente en la superposición de disposiciones a través de remisiones explícitas o implícitas, o mediante una derogación parcialmente diferida por vía del derecho transitorio, por compleja que pueda resultar, no puede dar lugar a la existencia de zonas inmunes al control de constitucionalidad. Habiendo aportado la comunidad recurrente motivos suficientemente razonados en defensa de su pretensión, procede entrar a examinar el fondo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bloque normativo a examinar concierne a la gestión de la ayuda de acompañamiento para jóvenes inscritos en el sistema nacional de garantía juvenil que suscriban un contrato de formación y aprendizaje.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discrepan sobre el encuadramiento competencial de la ayuda controvertida. El Gobierno vasco invoca la doctrina constitucional que reconduce las medidas de fomento del empleo al ámbito del art. 149.1.13 CE. Por su parte, el abogado del Estado considera que la controversia debe analizarse en el ámbito del art. 149.1.17 CE, y solo de modo subsidiario en el art. 149.1.13 CE, concurriendo en este supuesto las circunstancias excepcionales que, según la doctrina constitucional, justifican la gestión centralizada de ayudas y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dilucidar esta divergencia en el enfoque propuesto por las partes, es preciso tener en cuenta que esta ayuda constituye una “medida de activación e inserción laboral de jóvenes beneficiarios del sistema nacional de garantía juvenil, regulado en el capítulo I del título IV de la Ley 18/2014, de 15 de octubre, de aprobación de medidas urgentes para el crecimiento, la competitividad y la eficiencia” (apartado 1.1 de la disposición adicional 1 centésima vigésima LPGE 2018). Se inserta por tanto en el conjunto de medidas integrantes del sistema nacional de garantía juvenil, consistentes en la atención a los beneficiarios y el apoyo a la formación y a la contratación para el colectivo de jóvenes no ocupados ni integrados en los sistemas de educación o formación, según el art. 87 de la citada Ley 18/2014. La ayuda examinada es “compatible con las medidas de fomento del empleo que puedan establecer las comunidades autónomas en su ámbito de gestión” (apartado 1.4 de la disposición adicional centésima vigésima LPGE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69/2018, de 21 de junio, el Tribunal ya se ha pronunciado específicamente sobre el encuadramiento competencial de las medidas que conforman el sistema nacional de garantía juvenil, que ha quedado enmarcado en el art. 149.1.13 CE. Con amplia cita de la jurisprudencia previa, y con explícita referencia a la formación de los aprendices, que conecta directamente con una ayuda como la regulada en la disposición adicional centésima vigésima LPGE 2018, indisociable del contrato de formación y aprendizaje, concluye su fundamento jurídico 8 b)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acción de los poderes públicos se dirige a ‘incidir en el mercado laboral desde criterios de política económica incentivadores del acceso al empleo’ (STC 95/2002, FJ 10), esa acción se inscribe en la directriz que le marca el artículo 40.1 CE de ejercitar una política ‘orientada al pleno empleo’, y por lo tanto ‘la movilización de recursos financieros destinados a regular el mercado laboral y el pleno empleo concierne a ámbitos que no se limitan a lo que se viene entendiendo como régimen o materia laboral, aunque guarden conexión con ésta, sino que se trata ‘de medidas que inciden en el mercado de trabajo globalmente considerado, dando cumplimiento a la directriz contenida en el artículo 40.1 in fine CE, y que tienen tras de sí el respaldo competencial del artículo 149.1.13 CE […] El Estado ostenta pues, al amparo de su competencia sobre las bases y coordinación de la planificación general de la actividad económica […] la facultad de adoptar medidas en materia de fomento del empleo que, en tanto no incidan en la regulación de la relación laboral, constituyen una materia distinta de la propiamente laboral a la que se refiere el artículo 149.1.7 CE’ (SSTC 95/2002, FJ 11, y 22/2014, FJ 4). En aplicación de esta jurisprudencia, teniendo en cuenta que para ser beneficiario del sistema nacional de garantía juvenil se necesita ser joven y estar sin trabajo [art. 97 d)] y que el objetivo declarado del sistema es que todos esos jóvenes sin trabajo ‘puedan recibir una oferta de empleo, educación continua, formación de aprendiz o periodo de prácticas tras acabar la educación formal o quedar desempleadas’ [art. 90.1 a)], debemos enmarcar el sistema nacional de garantía juvenil, claramente, en el artículo 149.1.13 CE. Ello excluye, en principio, que el Estado pueda reservarse competencias ejecutivas y de gestión, salvo que las mismas sean necesarias para alcanzar los fines perseguidos por el Estado, de acuerdo con la doctrina constitucional ya reseñada más arriba [fundamento jurídico 5 c)] y que no es necesario reiterar (especialmente, para la gestión de un registro, puede verse la STC 223/2000, de 21 de septiembre, FFJJ 10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encuadrada la regulación controvertida en el ámbito del art. 149.1.13 CE, es doctrina consolidada que la competencia para la ejecución de las normas dictadas en virtud de esta competencia estatal corresponde, en principio, a las comunidades autónomas (en el caso de la Comunidad Autónoma del País Vasco, ex art. 10.25 EAPV), salvo que concurran circunstancias que, de forma excepcional, justifiquen la gestión centralizada. Además de la antes citada, cabe referirse a la STC 100/2017, de 20 de julio, FJ 5 c), con cita de la STC 22/2014, FJ 7 (en el mismo sentido, SSTC 153/2017, de 21 de diciembre; 156/2017, de 21 de diciembre, y 40/2019,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valorar si cabe en este caso considerar justificada la gestión estatal que, de forma excepcional, ha sido admitida por la jurisprudencia constitucional, el Tribunal aprecia, en primer lugar, que su régimen de otorgamiento responde a las mismas características que se tuvieron presentes en la STC 100/2017: se trata de “una actividad ejecutiva reglada en alto grado, donde las funciones de reconocimiento, concesión y pago requieren constatar y cumplir las condiciones y términos fijados por la normativa del Estado, de tal modo que dichas actuaciones se contraen, en gran medida, a una labor aplicativa de los requisitos previamente establecidos por la legislación estatal con la precisión que estime conveniente”. Como en aquel supuesto, se trata de un diseño que no permite “en principio apreciar que la asunción por el Servicio Público de Empleo Estatal de las funciones ejecutivas de concesión y pago de la ayuda económica de acompañamiento ahora analizada resulte imprescindible para garantizar la efectividad de la medida y la homogeneidad en su disfrute”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razones aportadas por el abogado del Estado para justificar la gestión centralizada de la ayuda, hay que comenzar por descartar que la cofinanciación europea pueda ser un criterio determinante de esta modalidad excepcional de gestión, pues tal circunstancia no altera el reparto competencial en el orden interno, como señaló en fecha ya lejana la STC 79/1992, de 28 de mayo, FJ 3 [citada, entre otras muchas, por la STC 130/2013, de 4 de junio, FJ 9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restantes alegaciones en defensa de la gestión centralizada se refieren: a la necesidad de asegurar que ningún tipo de dificultad financiera ponga en riesgo el abono en tiempo y forma de las ayudas a sus beneficiarios, evitando que se puedan crear diferencias en la percepción de las ayudas por razón del territorio; al contexto de limitaciones presupuestarias; al enorme drama social y personal que supone el desempleo juvenil; y a la variabilidad de las cuantía de las ayudas según las circunstancias coyunturales. Son argumentos en buena medida coincidentes, en algunos extremos de forma literal, con los que fueron analizados en el fundamento jurídico 6 c) de la STC 100/2017. Por ello, sin necesidad de reproducirlo, bastará la remisión a este pronunciamiento previo para concluir que no se ha justificado la concurrencia de circunstancias excepcionales que puedan dar lugar a la gestión centralizada de la ayuda de acompañamiento para jóvenes inscritos en el sistema nacional de garantía juvenil que suscriban un contrato de formación y aprendizaje.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anterior conclusión impone declarar la inconstitucionalidad y nulidad de los apartados o incisos impugnados de la disposición adicional centésima vigésima LPGE 2018 que atribuyen al SEPE la gestión de la ayuda de acompañamiento para jóvenes inscritos en el sistema nacional de garantía juvenil que suscriban un contrato de formación y aprendizaje.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incurren en este motivo de inconstitucionalidad: el inciso “por el Servicio Público de Empleo Estatal” del apartado 4.6; el inciso “en la oficina de prestaciones del Servicio Público de Empleo Estatal que le corresponda por su domicilio” del apartado 5.1; el apartado 5.2; el apartado 6.1; el inciso “previa reclamación ante el Servicio Público de Empleo Estatal” del apartado 6.3; y el apartado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procede desestimar la impugnación de la disposición derogatoria única 2.e) y de la disposición transitoria octava del Real Decreto-ley 28/2018, toda vez que su contenido no incluye regulación que, de modo directo y explícito, contemple la gestión estatal de la ayuda regulada en la disposición adicional centésima vigésima LPGE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línea con los pronunciamientos de las SSTC 100/2017, FJ 9; 153/2017, FJ 5; 156/2017, FJ 4, y 40/2019, FJ 7, por exigencia del principio constitucional de seguridad jurídica (art. 9.3 CE), la anterior declaración de inconstitucionalidad y nulidad no afecta a las situaciones jurídicas consolidadas, debiéndose considerar como tales las establecidas mediante actuaciones administrativas firmes o las que, en la vía judicial, hayan sido decididas mediante sentencia con fuerza de cosa juzgada (art. 40.1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bloque normativo a examinar afecta a la gestión estatal del subsidio extraordinario de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se contraponen las posiciones de las partes en torno al encuadramiento competencial. Para el Gobierno Vasco, la gestión estatal del subsidio extraordinario de desempleo incurre en idéntica vulneración de la alegada en relación con la ayuda antes examinada. De modo subsidiario, entiende que, de encuadrarse la controversia en el ámbito del art. 149.1.17 CE, su gestión compete igualmente a la comunidad autónoma, en virtud de lo dispuesto por el art. 18, apartados 2.b) y 4, y la disposición transitoria quinta EAPV. El abogado del Estado mantiene la posición ya expuesta, común a los dos bloques impugnados: se trata de una regulación encuadrable en el art. 149.1.17 CE y, en la opción subsidiaria de encuadramiento en el art. 149.1.13 CE, concurren las circunstancias excepcionales que justifican la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encuadramiento de esta controversia requiere incardinar el subsidio extraordinario de desempleo en una de las dos vertientes del sistema de protección ante situaciones de desempleo, que comprende tanto las políticas activas de empleo como las prestaciones por desempleo [art. 2 b) de la Ley básica de empleo, texto refundido aprobado por Real Decreto Legislativo 3/2015,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operación, no es posible desconocer que existe una estrecha interconexión entre dichas vertientes, pues ambas forman parte de la política de empleo, de espectro aún más amplio: según la definición recogida en el art. 1 del texto refundido de la Ley básica de empleo, con invocación de los arts. 40 y 41 CE, la política de empleo comprende “el conjunto de decisiones adoptadas por el Estado y las comunidades autónomas que tienen por finalidad el desarrollo de programas y medidas tendentes a la consecución del pleno empleo, así como la calidad en el empleo, a la adecuación cuantitativa y cualitativa de la oferta y demanda de empleo, a la reducción y a la debida protección de las situaciones de desempleo”. No es distinta la perspectiva adoptada por la Unión Europea: “Los desempleados tienen derecho a ayudas adecuadas a la activación por parte de los servicios públicos de empleo para (re)integrarse en el mercado laboral y a prestaciones de desempleo adecuadas de duración razonable, en consonancia con sus propias contribuciones y los criterios de concesión nacionales. Estas prestaciones no deberán desincentivar un retorno rápido al trabajo” [apartado decimotercero de la proclamación interinstitucional sobre el pilar europeo de derechos sociales (2017/C 428/09), en cuyo marco se fijan las orientaciones para las políticas de empleo de los estados miembros previstas en el art. 148.2 del Tratado de funcionamiento de la Unión Europea (TFUE), según expone la Decisión (UE) 2018/1215 del Consejo, de 16 de julio de 2018, vigentes a día de hoy según la Decisión (UE) 2019/1181 del Consejo, de 8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política de empleo acoge así un enfoque integral y sinérgico, que abarca tanto las actuaciones destinadas a la creación de empleo (la “política orientada al pleno empleo”, como dice el art. 40.1 CE) como las dirigidas a la tutela o protección de los desempleados (una de las “situaciones de necesidad” identificadas en el art. 41 CE). Los distintos instrumentos de la política de empleo combinan las dos facetas en grado diverso, pues ni las acciones orientadas al objetivo de incorporación o reincorporación al mercado de trabajo pueden desentenderse de la situación de necesidad, ni las prestaciones por desempleo deben contribuir a desincentivar aquel objetivo. Este enfoque, a la vez que resulta perfectamente comprensible como orientación de la acción de los poderes públicos, tiene una compleja proyección en el sistema constitucional de distribución de competencias entre el Estado y las Comunidades Autónomas, al combinar medidas de carácter pluridisciplinar y distinta naturaleza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tal punto es así que, volviendo a la legislación nacional, en algún momento sería posible hablar de yuxtaposición, como se puede apreciar en el art. 36.2 del texto refundido de la Ley básica de empleo: las políticas activas de empleo “se complementarán y se relacionarán, en su caso, con la protección por desempleo regulada en el texto refundido de la Ley general de la Seguridad Social. La acción protectora por desempleo a que se refiere el artículo 206 del referido texto legal comprende las prestaciones por desempleo de nivel contributivo y asistencial y las acciones que integran las políticas activas de empleo”. En concreto, las políticas activas de empleo pueden comprender la concesión de subvenciones públicas (art. 36.3 del citado texto refundido de la Ley básica de empleo), y así ha sido en el caso de las ayudas económicas de acompañamiento previstas en los programas de recualificación profesional de las personas que agoten su protección por desempleo y de activación para el empleo, (denominados “Prepara” y PAE), que fueron objeto de las SSTC 100/2017, 153/2017, 156/2017 y 40/2019. Por su parte, en la acción protectora de la protección por desempleo, de nivel contributivo o asistencial, están comprendidas las “acciones específicas de formación, perfeccionamiento, orientación, reconversión e inserción profesional en favor de los trabajadores desempleados y aquellas otras que tengan por objeto el fomento del empleo estable […] sin perjuicio, en su caso, de las competencias de gestión de las políticas activas de empleo” (art. 265.2 TRLGSS).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 extrañar, por tanto, la afinidad apreciada por la comunidad recurrente entre distintos elementos de los programas Prepara y PAE y del nuevo subsidio extraordinario de desempleo. Sin embargo, tampoco pueden pasarse por alto los elementos diferenciales que presenta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subsidio extraordinario de desempleo aparece desde su creación incorporado a la acción protectora de la Seguridad Social, lo que se confirma tanto por su ubicación sistemática en el TRLGSS como por su diseño legal, enmarcado en el modelo de protección por desempleo de nivel asistencial. Así lo señala el preámbulo del Real Decreto-ley 28/2018, que acentúa esta característica al dotar al subsidio extraordinario de desempleo de vigencia indefinida: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adopción de este subsidio de carácter extraordinario y temporal vino aconsejada por la necesidad de no dejar desprotegidas a las personas que potencialmente podrían participar en los programas de recualificación profesional de las personas que agoten su protección por desempleo (Prepara) y de activación para el empleo (PAE), que el pasado 30 de abril dejaron de admitir nuevos beneficiarios al no haber sido prorrogados, así como por la necesidad de que el Gobierno y los interlocutores sociales dispusieran de un plazo de tiempo suficiente para abordar, en el marco del diálogo social, una modificación de la protección por desempleo de nivel asistencial, racionalizando y simplificando el actual sistema. En consecuencia, el Gobierno asume el compromiso de presentar un nuevo modelo de protección por desempleo asistencial en los cuatro primeros meses de 2019, que sustituya el hasta ahora vigente modelo complejo, disperso e ineficaz. Junto a ello, y con el objeto de asegurar la cobertura hasta la adopción del nuevo modelo de protección, se elimina el carácter temporal del subsidio extraordinario de desempleo, a través de la derogación del apartado séptimo de la disposición adicional vigésima séptima del texto refundido de la Ley general de la Seguridad Social. La justificación de esta disposición se explica porque, de no adoptarse esta medida, y una vez finalizado el período inicial de vigencia del subsidio extraordinario, se produciría la desprotección de las personas potencialmente beneficiarias. Por ello, resulta imprescindible modificar con urgencia esta disposición al efecto de garantizar transitoriamente su vigencia en tanto no se hayan aprobado las modificaciones del nivel asistencial de la protección por desempleo que se pretenden realizar en el marco del diálogo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compromiso de actividad que tiene que suscribir el solicitante del subsidio, según el apartado cuarto de la disposición adicional vigésima séptima TRLGSS, es exactamente el mismo que establece el art. 300 TRLGSS para todos los solicitantes o beneficiarios de las prestaciones por desempleo, compromiso que incluye “buscar activamente empleo, aceptar una colocación adecuada y participar en acciones específicas de motivación, información, orientación, formación, reconversión o inserción profesional para incrementar su ocupabilidad”.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remisión a lo dispuesto en el título III TRLGSS para todo lo no previsto expresamente en la disposición impugnada confirma que, terminada la vigencia de los programas “Prepara” y PAE, el legislador ha optado por una alternativa diferente, consistente en un subsidio extraordinario de desempleo que ha pasado a formar parte de la acción protectora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estamos ante una mutación del modelo, que repercute inevitablemente en el título competencial bajo el que debe examinarse la presente controversia. Como ya señaló la STC 195/1996, de 28 de noviembre, las prestaciones de desempleo son prestaciones de Seguridad Social, contempladas en el art. 41 CE (FJ 10). Este precepto constitucional, siendo neutro respecto de la distribución de competencias, marca sin embargo las líneas que han de orientar el desarrollo evolutivo de la Seguridad Social como “función de Estado”, para atender situaciones de necesidad que pueden ir más allá de la cobertura contributiva de la que el propio sistema partía (STC 239/2002, de 11 de diciembre, FJ 3, con cita de la STC 206/1997, de 27 de noviembre, FJ 5). La STC 213/2005, de 21 de julio, FJ 3, resume en estos términos la doctrina constitucional sobre el alcance de las obligaciones impuestas a los poderes públicos por el art.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ha recogido y consagrado en su art. 41 la evolución que han experimentado los sistemas contemporáneos de Seguridad Social, de tal suerte que la protección de los ciudadanos ante situaciones de necesidad se concibe como ‘una función del Estado’, rompiéndose en buena parte la correspondencia prestación-cotización propia del seguro privado, superada por la dinámica de la función protectora de titularidad estatal (SSTC 103/1983, de 22 de noviembre, FJ 3; 65/1987, de 21 de mayo, y FJ 17,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41 CE impone a los poderes públicos la obligación de establecer —o mantener— un sistema protector que se corresponda con las características técnicas de los mecanismos de cobertura propios de un sistema de Seguridad Social. En otros términos, el referido precepto consagra en forma de garantía institucional un régimen público ‘cuya preservación se juzga indispensable para asegurar los principios constitucionales, estableciendo ... un núcleo o reducto indisponible por el legislador’ (STC 32/1981, de 28 de julio, FJ 3), de tal suerte que ha de ser preservado ‘en términos recognoscibles para la imagen que de la misma tiene la conciencia social en cada tiempo y lugar’ (STC 26/1987, de 27 de febrero, FJ 4, y 76/1988, de 26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Salvada esta indisponible limitación,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(STC 65/1987, de 21 de mayo, FJ 17,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subsidio extraordinario de desempleo responde a esta concepción evolutiva y a la libertad de configuración del legislador para modular la acción protectora de la Seguridad Social, lo que determina que el examen de esta controversia competencial haya de abordarse desde la óptica de las competencias que atribuye al Estado el art. 149.1.17 CE en esta materia: “Legislación básica y régimen económico de la Seguridad Social, sin perjuicio de la ejecución de sus servicios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ese encuadramiento, no resulta preciso entrar a examinar las alegaciones del Gobierno Vasco relativas a lo establecido en el Real Decreto-ley 14/2017, de 6 de octubre, por el que se aprueba la reactivación extraordinaria y por tiempo limitado del programa de recualificación profesional de las personas que agoten su protección por desempleo y, en este marco legal, a lo estipulado por el convenio suscrito entre el SEPE y la comunidad autónoma del País Vasco por el que se atribuye de forma excepcional y limitada en el tiempo al SEPE la gestión de la concesión y pago de las ayudas contempladas en el programa “Prepara”. Ambos documentos se refieren a un programa ya concluido y, como se ha expuesto, de naturaleza y encuadramiento competencial diferente al subsidio extraordinario de desempleo, cuya gestión procede examinar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constitucional ha perfilado el deslinde entre los dos títulos competenciales recogidos en el art. 149.1.17 CE. Por una parte, “la determinación de una prestación de la Seguridad Social constituye una norma básica que corresponde establecer al Estado ex art. 149.1.17 CE y debe hacerlo de forma unitaria para todos los sujetos comprendidos dentro de su ámbito de cobertura, salvo razones excepcionales debidamente justificadas y vinculadas a la situación de necesidad que se trata de proteger” (STC 7/2016, de 21 de enero, FJ 4). Por otra parte, la reserva competencial relativa al régimen económico de la Seguridad Social, “además de la legislación, puede comportar la atribución de las competencias de ejecución necesarias para configurar un sistema materialmente unitario” (STC 195/1996, de 28 de noviembre, FJ 6). Como expuso la STC 124/1989, de 7 de julio, “la mención separada del ‘régimen económico’ como función exclusiva del Estado trataba de garantizar la unidad del sistema de la Seguridad Social, y no sólo la unidad de su regulación jurídica, impidiendo diversas políticas territoriales de Seguridad Social en cada una de las comunidades autónomas. En su dimensión o expresión jurídica, el principio de unidad presupuestaria de la Seguridad Social significa la unidad de titularidad y por lo mismo la titularidad estatal de todos los fondos de la Seguridad Social, puesto que si faltara un único titular de los recursos financieros del sistema público de aseguramiento social, tanto para operaciones presupuestarias como extrapresupuestarias, no podría preservarse la vigencia efectiva de los principios de caja única y de solidaridad financiera, ni consecuentemente la unidad del sistema. No basta, por tanto, con la reserva de las competencias normativas para, desde las mismas, disponer la solidaridad financiera, mediante el establecimiento de reglas para la transferencia de fondos, a través de la Tesorería, de una a otra comunidad autónoma, en función de las disponibilidades financieras de cada momento. La Constitución no se ha limitado a establecer esa solidaridad interterritorial, sino que, partiendo de la misma, ha establecido e impuesto el carácter unitario del sistema y de su régimen económico, la estatalidad de los fondos financieros de la Seguridad Social y, por ende, la competencia exclusiva del Estado no sólo de normación sino también de disponibilidad directa sobre esos fondos propios”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específicamente a la competencia de gestión aquí controvertida, el Tribunal ya ha determinado que corresponde “al Estado la gestión de las prestaciones por desempleo, en tanto que integrantes de la caja única de la Seguridad Social” (STC 104/2013, de 25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hipótesis subsidiaria —para la demanda— de encuadramiento en el art. 149.1.17 CE, el Gobierno Vasco sostiene que la gestión del subsidio extraordinario de desempleo corresponde a la comunidad autónoma, por estar así dispuesto por el art. 18, apartados 2.b) y 4, y la disposición transitoria quinta EAPV. El art. 18 EAPV atribuye a la comunidad autónoma en el apartado 2.b) “la gestión del régimen económico de la Seguridad Social”, y en el apartado 4 la organización y administración de los correspondientes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previsión estatutaria relativa a la gestión autonómica del régimen económico de la Seguridad Social presenta un doble condicionamiento. El primero es intrínseco a la propia noción del sistema de Seguridad Social: “las concretas facultades que integran la competencia estatutaria de gestión del régimen económico de la Seguridad Social serán sólo aquellas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 (STC 124/1989, FJ 3). El segundo tiene que ver con el modo en que el propio Estatuto vasco recoge la competencia autonómica, pues lo dispuesto en el art. 18.2 b) EAPV no comporta su asunción ope legis. Como señala la STC 272/2015, de 17 de diciembre, el art. 18.2 b) EAPV “ha de ponerse en relación con la disposición transitoria quinta del Estatuto de Autonomía para el País Vasco. En su virtud la asunción por la Comunidad Autónoma del País Vasco de la gestión del régimen económico de la Seguridad Social, ‘dentro de su carácter unitario y del respeto al principio de solidaridad’, precisa de la suscripción de los oportunos convenios en el seno de la comisión mixta de transferencias creada para la aplicación del Estatuto de Autonomía para el País Vasco, ‘según los procedimientos, plazos y compromisos que, para una ordenada gestión, se contengan en tales convenios’ (no suscritos hasta la fecha, como pone de relieve la representación procesal del Gobierno vasco)”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ausencia de los convenios que activen lo dispuesto en el art. 18.2 b) EAPV y especifiquen las concretas facultades que puede asumir la Comunidad Autónoma del País Vasco sin comprometer el modelo unitario de Seguridad Social, no es posible apreciar que la lesión competencial denunciada por el Gobierno vasco se haya producido en grado alguno. Como entre otras muchas recuerda la STC 141/2016, de 21 de julio, “el correcto funcionamiento del sistema autonómico depende en buena medida de que el Estado y las comunidades autónomas desarrollen fórmulas racionales de cooperación, acuerdo o concertación” (FJ 7, con cita de las SSTC 247/2007, de 12 de diciembre, FJ 23, y 20/2016, de 4 de febrero, FJ 2). Pero esa responsabilidad no incumbe evidentemente a este Tribunal sino a las partes de este proceso constitucional integrantes de la comisión mixta de transferencias, que son las llamadas a ello por el propio Estatuto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el recurso de inconstitucionalidad núm. 1974-2019 y, en consecuencia, declarar la inconstitucionalidad y nulidad, en los términos señalados en el fundamento jurídico 3 d) de la presente sentencia, de los siguientes apartados e incisos de la disposición adicional centésima vigésima de la Ley 6/2018, de 3 de julio, de presupuestos generales del Estado para el año 2018: el inciso “por el Servicio Público de Empleo Estatal” del apartado 4.6; el inciso “en la oficina de prestaciones del Servicio Público de Empleo Estatal que le corresponda por su domicilio” del apartado 5.1; el apartado 5.2; el apartado 6.1; el inciso “previa reclamación ante el Servicio Público de Empleo Estatal” del apartado 6.3; y el apartado 7.3.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todo lo demás los recursos de inconstitucionalidad núms. 1974-2019 y 2065-2019.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