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25 de noviembre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3680-2019, planteada por el Juzgado de lo Contencioso-Administrativo núm. 2 de Zaragoza, en relación con los arts. 107.1 párrafo segundo, 107.2 a) y 107.8 y, por conexión, 108.1 párrafo segundo, y 108.2, todos ellos del texto refundido de la Ley reguladora de las haciendas locales, aprobado por el Real Decreto Legislativo 2/2004, de 5 de marzo. Han comparecido y formulado alegaciones el abogado del Estado y la fiscal general del Estado.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junio de 2019 tuvo entrada en el registro de este Tribunal un escrito del Juzgado de lo Contencioso-Administrativo núm. 2 de Zaragoza, al que se acompañaba, junto al testimonio del correspondiente procedimiento (procedimiento abreviado núm. 207-2018), el auto de 6 de junio de 2019, por el que se acordaba plantear una cuestión de inconstitucionalidad en relación con los arts. 107.1, párrafo segundo, 107.2 a) y 107.8 y, por conexión, 108.1, párrafo segundo, y 108.2, todos ellos del texto refundido de la Ley reguladora de las haciendas locales, aprobado por el Real Decreto Legislativo 2/2004, de 5 de marzo (en adelante, TRLHL), por posible contradicción con los principios de capacidad económica, progresividad y prohibición de confiscatoriedad, previstos en el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el fallecimiento de don Arturo Cristóbal Giménez, doña María Pilar Cristóbal Arias y doña Amelia Arias Cobos, su hija y esposa, respectivamente, recibieron por herencia el 50 por 100 (en nuda propiedad la primera y en usufructo la segunda) de una vivienda situada en Zaragoza que en la escritura de aceptación de herencia —otorgada en 1995— fue valorada en 35.000 €. Dicha vivienda fue vendida con fecha de 31 de marzo de 2015 por un importe de 38.000 €, obteniendo una ganancia patrimonial bruta de 3.000 €. Descontados los gastos y tributos soportados tanto al momento de la adquisición como al de la transmisión (de 2.371,35 €), la ganancia real alegada fue de 628,65 €.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consecuencia de la anterior venta el ayuntamiento de Zaragoza dictó una liquidación por el impuesto sobre el valor de los terrenos de naturaleza urbana (núm. 14760-2015), con un incremento de valor derivado de aplicar lo dispuesto en el art. 107 TRLHL por una cuantía de 15.569,71 € y una cuota tributaria resultante de 4.670,91 € (esto es, del 155,70 por 100 de la ganancia bruta obtenida).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Dado que la cuota tributaria liquidada era superior al importe de la ganancia patrimonial neta obtenida, las obligadas tributarias interpusieron un recurso de reposición que fue desestimado por el ayuntamiento de Zaragoza.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resolución desestimatoria del recurso de reposición se interpuso un recurso contencioso-administrativo, cuyo conocimiento correspondió al Juzgado de lo Contencioso-administrativo núm. 2 de Zaragoza. Una vez concluso el correspondiente procedimiento, mediante providencia de 21 de mayo de 2019, con suspensión del término para dictar sentencia, se dio traslado a las partes y al Ministerio Fiscal para que alegasen sobre si los arts. 107.1, párrafo segundo, 107.2 a) y 107.8, y en su caso, por conexión, los arts. 108.1, párrafo segundo, y 108.2 TRLHL, aprobado por el Real Decreto Legislativo 2/2004, de 5 de marzo, pudieran ser confiscatorios (infringiendo tanto el derecho de propiedad consagrado en el art. 1 del protocolo adicional núm. 1 al Convenio europeo de derechos humanos, como la doctrina del Tribunal Constitucional sobre la capacidad económica y la prohibición de confiscatoriedad), pues existiendo una manifestación de capacidad económica (y, por tanto, estando ante una situación que no se ha visto afectada por la declaración de inconstitucionalidad de la STC 59/2017), concretamente, un incremento de valor de 3.000 € (de solo 628,65 € una vez descontados los gastos), el importe del tributo ascendió a 4.670,91 €, agotando la riqueza sometida a tributación.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Evacuado el trámite de alegaciones conferido el Ministerio Fiscal, por informe de 23 de mayo de 2019, se mostró favorable a su planteamiento. Por su parte, el ayuntamiento de Zaragoza, por escrito de 27 de mayo de 2019, no se opuso al mismo, indicando que la Sala de lo Contencioso-Administrativo del Tribunal Supremo ha planteado una cuestión de inconstitucionalidad sobre el mismo asunto. La parte recurrente efectuó sus alegaciones por escrito de 4 de junio de 2019 en las que consideraba que el planteamiento de la cuestión dependía de la valoración de la prueba que hiciese el juzgado, a los efectos de determinar si hubo un incremento real de 3.000 € o si, por el contrario, no hubo tal incremento al responder a un pacto entre el vendedor y el comprador para el pago de los costes de la tramitación de la herencia, aún 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6 de junio de 2019, el magistrado-juez del Juzgado de lo Contencioso-Administrativo núm. 2 de Zaragoza dictó auto planteando la cuestión, con la fundamentación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caso es análogo al de la cuestión núm. 1020-2019, admitida mediante providencia de fecha de 26 de marzo de 2019. Este es incluso más claro puesto que, sin necesidad de computar los gastos, como sucede en dicha cuestión, la cuota tributaria agota ya el incremento de valor, por lo que se puede prescindir de si los gastos deben tenerse en cuenta o no para calcular el incremento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incremento de valor derivado de aplicar el TRLHL ascendió aquí a 15.569,71 €, resultando una cuota tributaria de 4.670,91 €, lo que agotó la riqueza imponible de 3.000 € que se había obtenido. El valor de adquisición se ha fijado en 35.000 €, determinado en función del impuesto sobre sucesiones, con independencia de la tributación que tenga en este tributo. Resulta también ajustado el precio de 38.000 € por el que se vendió a un tercero. Por tanto, aun sin contar los gastos necesarios, resulta que la riqueza imponible se ha agotado. Pese a ello, con la normativa aplicable y la jurisprudencia del Tribunal Constitucional y del Tribunal Supremo recaída hasta el momento habría que confirmar la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ser la cuota pagada superior al incremento obtenido, no solo se estaría gravando una riqueza al margen de su capacidad real, en contra de los principios de capacidad económica y progresividad del art. 31.1 CE, sino que se estaría produciendo un efecto confiscatorio contrario al art. 31.1 CE y al derecho de propiedad garantizado tanto por el art. 1 del Protocolo adicional núm. 1 al Convenio europeo de derechos humanos como por el apartado 1 del art. 17 de la Carta de los derechos fundamentales de la Unión Europea. El resultado confiscatorio se produce sin considerar los restantes tributos que el mismo obligado tributario debe soportar como consecuencia de la transmisión, como es el impuesto sobre la renta de las personas físicas (aplicable a la ganancia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reproduce el art. 31.1 CE y cita diversos pronunciamientos constitucionales relativos al mismo, en particular, la STC 194/2004, de 4 de noviembre, FJ 7, referida al impuesto sobre actividades económicas, y la STC 37/2017, de 1 de marzo, FJ 3, en relación justamente con el impuesto sobre el valor de los terrenos de naturaleza urbana. Recalca que el principio de capacidad económica obligaría a modular la carga tributaria en función de la medida de dicha capacidad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supuesto de hecho aquí planteado —aclara— es distinto del resuelto en la STC 59/2017, de 11 de mayo, puesto que no se trata de una minusvalía, como en el abordado en dicha sentencia, sino de un incremento en el que la cuota a pagar es superior a la plusvalía realmente experimentada por el terreno, de manera que dicho incremento es “expropiado” de facto, con carácter confiscatorio. Esta circunstancia no está prevista en la normativa del impuesto ni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juzgador entiende que las normas que regulan el impuesto pueden contravenir los principios de capacidad y no confiscatoriedad, planteando así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Constitucional, a propuesta de la Sección Cuarta, dictó providencia el 16 de julio de 2019 por la que acordó: admitir a trámite la cuestión planteada por el Juzgado de lo Contencioso-Administrativo núm. 2 de Zaragoza en relación con los arts. 107.1, apartado segundo, 107.2 a) y 107.8, y por conexión, 108.1, apartado segundo, y 108.2 TRLHL, por posible vulneración del art. 31.1 CE; de conformidad con lo dispuesto en el artículo 10.1 c) de la Ley Orgánica del Tribunal Constitucional (LOTC), deferir su conocimiento a la Sala Segunda; dar traslado de las actuaciones recibidas, conforme establece el artículo 37.3 LOTC, al Congreso de los Diputados y al Senado, por conducto de sus presidentes, al Gobierno, por conducto de la ministra de Justicia, y a la fiscal general del Estado, al objeto de que, en el improrrogable plazo de quince días, puedan personarse en el proceso y formular las alegaciones que estimen convenientes; comunicar la resolución al Juzgado de lo Contencioso-Administrativo núm. 2 de Zaragoza, a fin de que, de conformidad con lo dispuesto en el art. 35.3 LOTC, permanezca suspendido el proceso hasta que este Tribunal resuelva definitivamente la presente cuestión; y publicar la incoación en el “Boletín Oficial del Estado” (lo que tuvo lugar en el núm. 179, de 27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31 de julio de 2019 se recibió en el registro de este Tribunal un escrito de la presidenta del Congreso de los Diputados por el que da traslado del acuerdo adoptado por la Mesa de dicha Cámara dándose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igual forma, el 4 de septiembre de 2019 tuvo entrada en el registro de este Tribunal un escrito del presidente del Senado por el que da traslado del acuerdo adoptado por la mesa de dicha cámara dándose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11 de septiembre de 2019 se registró en este Tribunal un escrito del abogado del Estado en el que solicitaba que se le tuviese personado en el procedimiento y que se desestimase la cuestión de inconstitucionalidad, con base en los argumentos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hace una interpretación de los hechos acaecidos alternativa a la del órgano judicial. Alega que tratándose de una adquisición hereditaria, el valor de adquisición de la vivienda que debe tomarse como referencia es el que tenía a la fecha de fallecimiento —en este caso el 1 de febrero de 1965— no a la fecha de aceptación de la herencia, que se produjo en 1995. Este criterio alternativo arrojaría un incremento de valor previsiblemente mayor al de 3.000 € que da por probado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y con independencia de lo anterior, la duda planteada por el órgano judicial (gravamen excesivo de la ganancia obtenida por el sujeto) parte de una concepción errónea del concepto del “incremento de valor” en su regulación positiva, pues en los supuestos no afectados por la declaración de inconstitucionalidad de la STC 59/2017, el texto refundido de la Ley de haciendas locales solo toma en consideración el valor catastral en el momento del devengo (referenciado al de mercado según el art. 22 del texto refundido de la Ley de catastro, aprobado por el Real Decreto Legislativo 1/2004, de 5 de marzo) y no otros valores, como podría ser el valor catastral en el momento de la adquisición del terreno o los valores comparativos de compra y venta del mismo. De este modo, el impuesto sobre el incremento del valor de los terrenos de naturaleza urbana no pretende gravar la ganancia mercantil obtenida por el sujeto pasivo por comparación entre el precio de adquisición y el de venta, sino el valor estático o acumulado del inmueble. Por tanto, cuando se acredite en un caso concreto que no ha existido, en términos económicos y reales, un incremento de valor, no se habrá realizado el presupuesto de hecho del tributo. Sin embargo, cuando sí exista ese incremento, la forma de determinarlo será con arreglo “al porcentaje anual que determina cada ayuntamiento” (art. 107.4 TRLHL).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señala que este tributo, como concluyó la STC 59/2017, no es contrario a la Constitución con carácter general, sino únicamente en aquellos supuestos en los que somete a tributación situaciones inexpresivas de capacidad económica; esto es, aquellas que no presentan aumento de valor del terreno al momento de la transmisión. La misma sentencia declaró también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por el contribuyente (fundamento jurídico 3). El fundamento del tributo no es, entonces, gravar el incremento “real” obtenido por diferencia entre los precios de venta y compra, sino gravar el incremento de valor del terreno derivado de la acción urbanística del municipio (art. 47 CE, informe de la Dirección General de Tributos de fecha 16 de abril de 2019 y sentencia de la Sala de lo Contencioso-Administrativo del Tribunal Supremo de fecha 5 de febrero de 2001). No se trata de gravar la “capacidad de pago” exteriorizada con la ganancia patrimonial por diferencia entre un precio de venta y un precio de compra (capacidad económica real), sino el beneficio recibido por el contribuyente durante un período de tiempo por la actuación de la corporación local calculado de forma objetiva; esto es, sin atender al efecto mercantil de obtención de renta (capacidad económica potencial). En definitiva, la regulación general del tributo no somete a tributación per se situaciones de hecho inexpresivas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adecuación de los preceptos cuestionados al principio de no confiscatoriedad, considera que este solo es predicable del sistema tributario en su conjunto y no de cada uno de sus tributos en particular (SSTC 150/1990, FJ 9; y 233/1999, FFJJ 23 y 39); además, no ha quedado acreditado que se haya producido el efecto de privación de toda la renta y del patrimonio del sujeto pasivo con el tributo aplicado o en conjunción con las restantes figuras impositivas. De hecho, en el caso concreto que es objeto del proceso judicial, la base imponible calculada en función del valor catastral al momento de la venta era de 15.569,71 €, de manera que al ser la cuota de 4.670,91 €, la presión soportada ha sido en torno al 30 por 100. En consecuencia, dado que la supuesta inconstitucionalidad no puede deducirse sin más de la normativa aplicada, sino de su eventual y circunstancial aplicación al caso concreto y en el mismo no se ha producido un alcance confiscatorio, la cuestión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 de octubre de 2019, la fiscal general de Estado presentó sus alegaciones, concluyendo que “los arts. 107.1 y 107.2 a) TRLHL serían inconstitucionales en la medida en que someten a tributación situaciones de incrementos de valor que vulneran los principios de capacidad económica y de no confiscatoriedad del art. 31.1 CE”. Tomando como referencia la doctrina de este Tribunal Constitucional relativa al principio de capacidad económica, subraya que en el caso planteado no se está ante una riqueza inexistente, al haberse producido —como el propio promotor de la cuestión reconoce— una ganancia para el contribuyente. Se está en presencia, entonces, de una situación en la que se ha puesto de manifiesto una capacidad económica susceptible de ser sometida a tributación. No se discute, por tanto, la existencia de un incremento de valor del terreno en el momento de la transmisión, sino el cálculo de la base imponible conforme a las reglas del impuesto que ha provocado que la cuota a pagar sea superior al incremento de valor del terreno.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la fiscal general del Estado hay que analizar si, existiendo un incremento de valor real inferior al derivado de aplicar las reglas objetivas de cálculo del impuesto, se estaría gravando una renta en parte inexistente, de manera que se estaría haciendo tributar al sujeto pasivo por una capacidad económica objetiva no coincidente con la realmente puesta de manifiesto (en el caso que subyace en el proceso, mientras que el beneficio real obtenido por el contribuyente fue de 3.000 €, sin embargo, la base imponible calculada legalmente ascendió a 15.569,71 €, siendo la cuota pagada de 4.670,91 €). De esta manera, las reglas de determinación de la base imponible han atribuido al sujeto pasivo una capacidad económica superior al beneficio realmente obtenido, viéndose obligado a soportar una carga tributaria ajena al quantum real del incremento de valor que le ha supuesto la venta del inmueble, para terminar tributando, en parte, por una riqueza inexistente. Así las cosas, si el sujeto pasivo debe cumplir con su obligación de contribuir “exclusivamente de acuerdo con su capacidad económica” (STC 26/2017, FJ 2), la forma de cuantificar la base imponible, lejos de respetar el principio de capacidad económica, obliga a tributar por una riqueza imponible que, existiendo, no se adecua a la realmente derivada de la transmisión del inmueble, sometiendo a tributación una riqueza que, aun siendo existente, es en parte virtual o ficticia.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situación encontraría solución si se posibilitase la prueba de la plusvalía realmente producida en el momento de la transmisión del inmueble, facilitando al sujeto pasivo acreditar incrementos de valor inferiores a los que resultan de la aplicación de las reglas de cálculo de la base imponible; y, sobre todo, si se tiene en cuenta que la STC 59/2017 declaró inconstitucional la regla del art. 110.4 TRLHL, “al impedir a los sujetos pasivos que pu[diesen] acreditar la existencia de una situación inexpresiva de capacidad económica” [fundamento jurídico 5 b)]. Por tanto, la posibilidad de habilitar al sujeto pasivo para acreditar incrementos de valor inferiores a los que resultan de la aplicación de las reglas de cálculo de la base imponible permitiría adecuar la cuantificación del hecho imponible y, por tanto, de la capacidad económica gravada, a la plusvalía real generada en el momento de la transmisión. Sin embargo, dado que deben observarse las reglas legales de cálculo de la base imponible, se producen situaciones que desconocen la capacidad económica real del contribuyente y, por ende, el principio de capacidad económica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la posible vulneración de la prohibición de confiscatoriedad, la fiscal general del Estado señala que dicho principio se vulnera, conforme a la doctrina constitucional, bien cuando con la aplicación de las diversas figuras tributarias se llegara a privar al sujeto pasivo de sus rentas y propiedades, bien cuando un tributo agotase la riqueza imponible so pretexto del deber de contribuir al sostenimiento de los gastos públicos, o bien cuando sometiese a gravamen una riqueza inexistente en contra del principio de capacidad económica (STC 26/2017, FJ 2). Pues bien, referido el principio de no confiscatoriedad al conjunto del sistema tributario, se vulneraría cuando se prive al sujeto pasivo de sus rentas y propiedades, consideradas en tu totalidad, lo que, a su juicio, no es el caso. Y referido el citado principio a la óptica de cada tributo o figura impositiva, la supuesta confiscatoriedad derivaría de que la cuota a pagar superó beneficio obtenido por el sujeto pasivo con la venta del inmueble, lo que agotó la riqueza imponible, debiendo analizarse la cuestión, también, desde la óptica del principio de proporcionalidad, que pretende evitar el exceso en la imposición. Sobre este particular considera que una imposición excesiva sería contraria al derecho que les asiste a los sujetos tributarios de que la carga tributaria que deban soportar se adecue a los principios de capacidad económica, progresividad y no confiscatoriedad. Y, a su juicio, resulta evidente que en aquellos supuestos en los que la carga impositiva es desmedida en relación con la riqueza real obtenida con la transmisión, se produce una desproporción entre la riqueza realmente obtenida y la efectivamente gravada conforme las reglas del impuesto, lo que provoca un sacrificio excesivo del derecho del contribuyente que contradice su derecho a tributar con arreglo a su capacidad económica y sin que el tributo tenga un alcance confiscatorio.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para la fiscal general del Estado, aunque el órgano judicial hace referencia tanto a la posible afectación por el impuesto aplicado del principio de progresividad, así como a la inflación como elemento que reforzaría la infracción del principio de capacidad y el carácter confiscatorio de la cuota, si se actualizara el valor de adquisición conforme a la misma, ni una ni otra cuestión fueron planteadas a las partes y al Ministerio Fiscal en el trámite de audiencia previo a la promoción de la presente cuestión, por lo que debe decaer su análisis. En cualquier caso, —añade— respecto del principio de progresividad, de conformidad con la doctrina de este Tribunal Constitucional, es predicable del sistema impositivo en general (SSTC 76/1990 y 150/1990), lo que supondría que la progresividad debe contemplar la totalidad de la situación económica del sujeto pasivo (renta, patrimonio y consumo). Además, dado que el grado de progresividad de cada tributo debe determinarse en función de la base imponible (STC 45/1989, FJ 4), el análisis de las reglas de cálculo de la cuota tributaria del impuesto analizado denota que, a mayor base imponible, esto es, a mayor capacidad económica, la cuota a pagar, en igualdad de condiciones, aumenta para aquellos contribuyentes cuyo incremento de valor es superior, satisfaciendo con ello el criterio de progresividad.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respecto de la inflación, señala que, aun siendo cierto que el legislador no ha previsto la corrección monetaria del valor de adquisición dada la actualización periódica del valor catastral de los inmuebles mediante los coeficientes que se contienen en los presupuestos generales del Estado, sin embargo, solo a aquel le corresponde la determinación de los elementos esenciales del tributo (como el hecho imponible, la base imponible, el tipo de gravamen y la cuota tributaria), de modo que el promotor de la cuestión indirectamente estaría propugnando un método de cálculo ajeno al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la fiscal general de Estado el art. 107 TRLHL es inconstitucional en la medida en que somete a tributación situaciones de incrementos de valor en contra de los principios de capacidad económica y no confiscatoriedad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15 de octubre de 2019 se aceptó la abstención de don Juan Antonio Xiol Ríos, en consideración a su comunicación de 30 de septiembre anterior, al concurrir en el la causa prevista en el art. 219.10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31 de octubre de 2019 se ha dictado la STC 126/2019 por la que se resuelve la cuestión de inconstitucionalidad núm. 1020-2019, en razón de la cual el conocimiento de la presente cuestión había sido deferida a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noviembre de 2019,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Juzgado de lo Contencioso-Administrativo núm. 2 de Zaragoza plantea una cuestión de inconstitucionalidad en relación con los arts. 107.1, párrafo segundo, 107.2 a) y 107.8, y por conexión, 108.1 párrafo segundo, y 108.2, todos ellos del texto refundido de la Ley reguladora de las haciendas locales, aprobado por el Real Decreto Legislativo 2/2004, de 5 de marzo (TRLHL), por posible contradicción con los principios de capacidad económica, progresividad y prohibición de confiscatoriedad, previstos en el art. 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se han recogido en los antecedentes, el abogado del Estado solicita que la cuestión sea desestimada. Por su parte, la fiscal general del Estado interesa su estimación, al entender vulnerados los principios de capacidad económica y prohibición de confiscatoriedad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resulta necesario hacer dos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el auto de planteamiento cita entre los preceptos cuestionados el art. 107.8 TRLHL, lo que se trata de un error toda vez que el citado art. 107 ni ha tenido ni tiene un apartado ocho (se divide en solo cuatro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aunque el auto vincula sus dudas con el contenido de los arts. 107.1, párrafo segundo, 107.2 a) y, por conexión, con los arts. 108.1, párrafo segundo, y 108.2 TRLHL, de la argumentación que desarrolla se infiere que es la forma de cálculo del impuesto que regula el art. 107.4 TRLHL la que realmente considera contraria al art. 31.1 CE, pues en tal precepto es donde se recogen los porcentajes de incremento que, multiplicados por el valor catastral del terreno urbano en el momento de la transmisión, determinan que la cuota del tributo pueda llegar a superar el incremento de valor realmente obtenido. Por tanto, nuestro análisis debe circunscribirse a dicho art. 107.4 TRLHL.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en la STC 126/2019, de 31 de octubre, se ha resuelto la cuestión de inconstitucionalidad núm. 1020-2019, sustancialmente igual a la aquí planteada, referida a un caso en el que el impuesto sobre el valor de los terrenos de naturaleza urbana resultante del sistema de cálculo previsto en el art. 107 TRLHL, en concreto en su apartado 4, era —como en el presente— superior al incremento patrimonial obtenido. En dicho pronunciamiento se declara que el art. 107.4 TRLHL es inconstitucional por vulnerar el principio de capacidad económica y la prohibición de confiscatoriedad, consagrados en el art. 31.1 CE, en aquellos supuestos en los que la cuota a pagar es superior al incremento patrimonial obtenido por el contribuyente.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5 a) de la citada STC 126/2019 concreta su alcance y efectos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no puede serlo, sin embargo, en todo caso, lo que privaría a las entidades locales del gravamen de capacidades económicas reales. En coherencia con la declaración parcial de inconstitucionalidad que hizo la STC 59/2017, el art. 107.4 TRLHL debe serlo únicamente en aquellos casos en los que la cuota a satisfacer es superior al incremento patrimonial realmente obtenido por el contribuyente. Eso sí, la inconstitucionalidad así apreciada no puede extenderse, sin embargo, como pretende el órgano judicial, al art. 108.1 TRLHL (tipo de gravamen), pues el vicio declarado se halla exclusivamente en la forma de determinar la base imponible y no en la de calcular la cuota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añadirse una precisión sobre el alcance concreto del fallo. Por exigencia del principio de seguridad jurídica (art. 9.3 CE), y al igual que hemos hecho en otras ocasiones (por todas, SSTC 22/2015 de 16 de febrero, FJ 5, y 73/2017, de 8 de junio, FJ 6), únicamente han de considerarse situaciones susceptibles de ser revisadas con fundamento en esta sentencia aquellas que, a la fecha de publicación de la misma, no hayan adquirido firmeza por haber sido impugnadas en tiempo y forma, y no haber recaído todavía en ellas una resolución administrativa o judicial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sido declarado inconstitucional el art. 107.4 TRLHL, en los términos que se acaban de exponer, la duda planteada por el órgano judicial ha quedado disipada, por lo que la presente cuestión de inconstitucionalidad ha perdido su objeto, conforme a la reiterada doctrina de este Tribunal [SSTC 47/2017, de 27 de abril, FJ 3 c); 49/2017, de 8 de mayo, FJ 4; 55/2017, de 11 de mayo, FJ 3 c), y 60/2018, de 4 de junio,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la pérdida sobrevenida del objeto de la presente cuestión de inconstitucionalidad núm. 3680-2019.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