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11 de noviembre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en el recurso de amparo núm. 3092-2019, promovido por Penrei Inversiones, S.L., en procedimiento de ejecución hipotecaria,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16 de mayo de 2019, la entidad Penrei Inversiones, S.L., representada por la procuradora de los tribunales doña Blanca Berriatua Horta y bajo la dirección de la letrada doña Anju Nirmala Benavent Rodríguez, interpuso recurso de amparo contra los autos dictados por el Juzgado de Primera Instancia e Instrucción núm. 6 de Lorca en el procedimiento de ejecución hipotecaria núm. 67-2018 en fechas 17 de septiembre de 2018 y 8 de abril de 2019 por los que, respectivamente, se inadmite por extemporánea la oposición a la ejecución hipotecaria y se confirma esta última decisión al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6 de Lorca se sigue procedimiento de ejecución hipotecaria núm. 67-2018 promovido por la entidad Banco de Sabadell, S.A., frente a las sociedades Euroinversiones Inmobiliarias Costa Sur, S.L., en calidad de prestataria e hipotecante, y Penrei Inversiones, S.L., en calidad de titular registral de un derecho de uso y disfrute sobre el inmueble hipotecado.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20 de junio de 2018 se acordó despachar ejecución frente las sociedades demandadas. El citado auto y el decreto de la misma fecha que le sigue fueron comunicados a las citadas entidades a través de la sede judicial electrónica el día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entidad Penrei Inversiones, S.L., presentó escrito de oposición a la ejecución despachada con fecha 27 de agosto de 2018. Por auto de 17 de septiembre de 2018 se acordó su inadmisión por presentación extemporánea, tomando como fecha de notificación el 21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21 de junio de 2018 sino, en su caso, a partir de esa fecha y hasta el 6 de agosto de 2018 dado que la comunicación remitida a través de la dirección electrónica habilitada no puede entenderse más que un aviso de puesta a disposición o descarga de su contenido durante un plazo determinado (en el caso desde el 21 de junio al 6 de agosto de 2018) y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recurso fue tramitado y resuelto por auto de 8 de abril de 2019 en sentido desestimatorio al constatar su condición de persona jurídica y la obligación que como tal tiene de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el Real Decreto 1065/2015, de 27 de enero, sobre comunicaciones electrónicas en la admisnitración de justicia en el ámbito territorial del Ministerio de Justicia y por el que se regula el sistema Lexnet; en su fundamento jurídico 2 concluye que “en el presente caso, consta que la notificación se puso a disposición de las recurrentes en fecha 21 de junio de 2018 no accediendo al contenido hasta el día 27 de julio de 2018 y 31 de julio de 2018 (fuera de los tres días que establece la normativa procesal), presentando los escritos de oposición a la ejecución en fecha 27 de agosto de 2018 y 29 de agosto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la interpretación ofrecida en el auto objeto de impugnación, que se apoya en la Ley de procedimiento administrativo eludiendo las garantías exigibles para las notificaciones de un proceso judicial, cercena el derecho a la tutela judicial efectiva al privar a la recurrente del derecho a formular oposición en un proceso de ejecución hipotecaria. A tal fin, aduce que siguió la literalidad de las instrucciones contenidas en un correo electrónico que recibió procedente del servicio de notificaciones electrónicas, accediendo al contenido de la notificación dentro del plazo establecido en el mismo. El citado correo tiene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notificación estará disponible en su dirección electrónica habilitada única desde el 21 de junio de 2018 hasta el 06 de agosto de 2018. Si no procediera a su lectura en el plazo indicado se producirán los efectos correspondientes, según la normativa aplicable. Para que conste como leída, por favor acceda a http://notificaciones060.es Asunto: “JDO. 1 INST. E INSTR. N 6 DE LORCA EHJ/0000066/2018”.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la entidad recurrente afirmando que las resoluciones impugnadas no han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otrosí la suspensión del procedimiento de ejecución hipotecaria alegando que la continuación de la ejecución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30 de septiembre de 2019 la Sección Primera de este Tribunal acordó admitir a trámite el recurso de amparo y dirigir comunicación al Juzgado de Primera Instancia e Instrucción núm. 6 de Lorca, a fin de que, en el plazo de diez días, remitiera certificación o fotocopia adverada de las actuaciones correspondientes a los autos de ejecución hipotecaria y emplazara a quienes hubieran sido parte en el proceso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oportuna pieza para la tramitación del incidente de suspensión y, conforme a lo dispuesto en el art. 56 de la Ley Orgánica del Tribunal Constitucional, concedió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4 de octubre de 2019, la parte demandante formuló sus alegaciones, reiterando lo dicho en el otro sí de su demanda y trascribiendo parte del ATC 287/2013, de 16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registrado el 17 de octubre de 2019, interesa que se acuerde la anotación preventiva de la demanda en el registro de la propiedad, aunque esta última medida no haya sido solicitada en el recurso de amparo. Tras exponer la doctrina de este Tribunal sobre suspensión de resoluciones y actos impugnados, considera que la aplicación al caso de dicha doctrina nos debe llevar a considerar que nos encontramos en uno de esos supuestos en que, de no adoptarse la medida de anotación preventiva de la demanda, la tutela que pudiera otorgarse por este Tribunal no sería completa si se deja abierta la posibilidad de que la finca sea transmitida a un tercero de buena fe mientras se sustancia y resuelve el presente recurso de amparo, por lo que interesa la anotación preventiva de la demanda en el registro de la propiedad evitando así situaciones cuya reversibilidad sería imposible.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67-2018,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recurridos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37/2014, FJ 2; 282/2014, de 17 de noviembre, FJ 4,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la doctrina de la que se ha hecho mención al caso aquí planteado permite concluir, de acuerdo con el ministerio fiscal, que resulta improcedente la suspensión solicitada y, por el contrario, es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En tales circunstancias, no es posible afirmar que la continuación del curso del procedimiento judicial, incluso con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haga irreivindicable.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2/2019, de 9 de enero, 88/2018, de 17 de septiembre, y 106/2017,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67-2018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noviembre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