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25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en el recurso de amparo núm. 5545-2018, promovido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mercantil Euroinversiones Inmobiliarias Costa Sur, S.L., representada por la procuradora de los tribunales doña Blanca Berriatua Horta, con asistencia letrada de don Marcelino Gilabert García, solicita la suspensión del proceso de ejecución hipotecaria núm. 91-2018 tramitado por el Juzgado de Primera Instancia e Instrucción núm. 3 de Lorca. Lo hace por otrosí en el escrito de 25 de octubre de 2018 por el que interpone recurso de amparo contra los autos de 10 de julio y 13 de septiembre del mismo año recaídos en aquel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sobre la medida cautelar solicitada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91-2018 promovido por la entidad Banco de Sabadell, S.A., frente a la sociedad Euroinversiones Inmobiliarias Costa Sur, S.L., en calidad de prestataria e hipotecante.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Despachada ejecución por auto de 3 de mayo de 2018, la sociedad demandada, actual recurrente en amparo, fue requerida y notificada el 7 del mismo mes a través de la sede judicial electrónica.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5 de julio de 2018, la sociedad demandada formula oposición a la ejecución despachada. Por auto de 10 del mismo mes fue inadmitida por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ejecutada interpone recurso de reposición. Alega que las diligencias de notificación y requerimiento se realizaron el 23 de junio de 2018. La comunicación remitida a través de la dirección electrónica habilitada no sería más que un aviso de puesta a disposición o descarga de su contenido durante un plazo determinado. Entenderlo de otro modo vulneraría el art. 24 CE, además de los arts. 135, 152, 160, 162 de la Ley 1/2000, de 7 de enero,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desestimado por auto de 13 de septiembre de 2018. El órgano judicial razona a la vista del art. 43 de la Ley 39/2015, de 1 de octubre, de procedimiento administrativo común, que la sociedad demandada contaba con diez días para acceder al contenido de la resolución y, con ello, para tenerse por notificada. En el presente caso, el 7 de mayo de 2018 la notificación estaba ya disponible. El escrito de oposición se formuló el 5 de julio y, por tanto, claramente fuera del plazo establecido en el art. 556.1 LEC (diez días desde la notificación del auto que despacha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atribuye a los autos impugnados la vulneración del derecho fundamental de la sociedad recurrente a la tutela judicial efectiva y a un proceso con garantías y sin indefensión (art. 24.1 y 2 CE). La interpretación de la legislación procesal, realizada a partir de una ley de procedimiento administrativo, habría privado injustamente a la recurrente de su derecho a formular oposición a la ejecución hipotecaria. Tratándose de un primer emplazamiento, debió realizarse del modo tradicional (art. 273 LEC). El órgano judicial habría incumplido su obligación de asegurar, no ya la legalidad formal de los actos de comunicación, sino el cumplimiento efectivo de su finalidad constitucional. La demanda solicita por otrosí la suspensión del proceso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septiembre de 2019, la Sección Segunda de este Tribunal acuerda admitir a trámite el recurso y dirigir comunicación al Juzgado de Primera Instancia e Instrucción núm. 3 de Lorca, a fin de que, en el plazo de diez días, remita certificación o fotocopia adveradas de las actuaciones correspondientes a los autos de ejecución hipotecaria y emplace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acuerda formar la oportuna pieza para la tramitación del incidente de suspensión y, conforme a lo dispuesto en el art. 56 de la Ley Orgánica del Tribunal Constitucional (LOTC), concede un plazo común de tres días a la parte recurrente y al ministerio fiscal para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20 de septiembre de 2019, la demandante de amparo insiste en que la ejecución se ha despachado con vulneración de su derecho a la tutela judicial efectiva. Añade que la doctrina constitucional ha accedido a suspender ejecuciones hipotecarias en otros casos y que no hacerlo en el presente conduciría a situaciones irreversibles con inevitables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3 de octubre siguiente, el ministerio fiscal interesa que se acuerde la anotación preventiva de la demanda en el registro de la propiedad, por más que no haya sido solicitada. Tras exponer la doctrina constitucional sobre suspensión de resoluciones impugnadas, considera que, de no adoptarse la anotación preventiva de la demanda, la tutela que el Tribunal pudiera otorgar corre el riesgo de ser incompleta; dejaría abierta la posibilidad de que la finca sea transmitida a un tercero de buena fe mientras se sustancia y resuelve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Personada en las actuaciones principales la entidad Pera Assets Designated Activity Company, el secretario de justicia de la Sala Primera de este Tribunal, mediante diligencia de ordenación de 21 de octubre de 2019, le concede un plazo de tres días para alegar en relación con la petición de suspensión interesada por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de 28 de octubre de 2019, la entidad Pera Assets Designated Activity Company, representada por la procuradora de los tribunales doña Blanca María Grande Pesquero, afirma que Banco Sabadell le ha cedido el crédito hipotecario y que, en virtud del régimen de sucesión procesal, las actuaciones deben continuarse con ella. Tras ello se opone a la suspensión solicitada a la vista de la doctrina constitucional, la vaguedad de la petición formulada, la mala fe procesal demostrada y el no ofrecimiento de un principio razonable de prueba ni caución o fianza razonable.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resolver sobre la procedencia de la medida cautelar instada por la parte recurrente en amparo y dirigida frente al procedimiento de ejecución hipotecaria núm. 91-2018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se configura como una medida de carácter excepcional y de aplicación restrictiva (por todos, AATC 117/2015, de 6 de julio, FJ 1, y 59/2017, de 24 de abril, FJ 1).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que se ocasionarían de seguirse la ejecución del acto impugnado. Debe mostrar que la ejecución del acto recurrido puede privar a la demanda de amparo de su finalidad, provocando que el restablecimiento del recurrente en el derecho constitucional vulnerado sea tardío y convirtiendo en meramente ilusorio y nominal el amparo impetrado [AATC 51/1989, de 30 de enero, 144 290/1995, de 23 de octubre, 370/1996, de 16 de diciembre, 283/1999, de 29 de noviembre, 90/2014, de 27 de marzo, FJ 1; 190/2015, de 5 de noviembre, FJ 2 a); 59/2017, de 24 de abril, 146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150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expuesta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 situación,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lo reputa idóneo para evitar el perjuicio derivado de que la adquisición del bien por tercero lo haga irreivindicable. Esta ha sido la solución acogida recientemente,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188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91-2018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