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155</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25 de noviembre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en el recurso de amparo núm. 1981-2019, promovido por Penrei Inversiones,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entidad mercantil Penrei Inversiones, S.L., representada por la procuradora de los tribunales doña Blanca Berriatua Horta, con asistencia letrada de doña Anju Nirmala Benavent Rodríguez, solicita la suspensión del proceso de ejecución hipotecaria núm. 57-2018 tramitado por el Juzgado de Primera Instancia e Instrucción núm. 6 de Lorca. Lo hace por otrosí en el escrito de 26 de marzo de 2019 por el que interpone recurso de amparo contra los autos de 17 de septiembre de 2018 y 11 de febrero del año siguiente recaídos en aquel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sobre la medida cautelar solicitada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6 de Lorca se sigue procedimiento de ejecución hipotecaria núm. 57-2018 promovido por la entidad Banco de Sabadell, S.A., frente a las sociedades Euroinversiones Inmobiliarias Costa Sur, S.L., en calidad de prestataria e hipotecante, y Penrei Inversiones, S.L., en calidad de titular del derecho uso del inmueble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Despachada ejecución por auto de 29 de mayo de 2018, las sociedades demandadas fueron requeridas y notificadas el 30 del mismo mes a través de la Sede Judicial Electrónica.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24 de julio de 2018, las sociedades demandadas formulan oposición a la ejecución despachada. Por Auto de 17 de septiembre del mismo año fue inadmitida por extemporánea, tomando como fecha de notificación el 30 de mayo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ejecutada Penrei Inversiones, S.L., interpone recurso de reposición. Alega que las diligencias de notificación y requerimiento se realizaron el 15 de julio de 2018. La comunicación remitida a través de la dirección electrónica habilitada no sería más que un aviso de puesta a disposición o descarga de su contenido durante un plazo determinado. Entenderlo de otro modo vulneraría el art. 24 CE, además de los arts. 135, 152, 160, 162 de la Ley 1/2000, de 7 de enero,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recurso fue desestimado por auto de 11 de febrero de 2019. El órgano judicial razona a la vista del art. 43 de la Ley 39/2015, de 1 de octubre, de procedimiento administrativo común, que la sociedad demandada contaba con diez días para acceder al contenido de la resolución y, con ello, para tenerse por notificada. En el presente caso, el 30 de mayo de 2018 la notificación estaba ya disponible. El escrito de oposición se formuló el 24 de julio y, por tanto, claramente fuera del plazo establecido en el art. 556.1 LEC (diez días desde la notificación del auto que despacha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atribuye a los autos impugnados la vulneración del derecho fundamental de la sociedad recurrente a la tutela judicial efectiva y a un proceso con garantías y sin indefensión (art. 24.1 y 2 CE). La interpretación de la legislación procesal, realizada a partir de una ley de procedimiento administrativo, habría privado injustamente a la recurrente de su derecho a formular oposición a la ejecución hipotecaria. Tratándose de un primer emplazamiento, debió realizarse del modo tradicional (art. 273 LEC). El órgano judicial habría incumplido su obligación de asegurar, no ya la legalidad formal de los actos de comunicación, sino el cumplimiento efectivo de su finalidad constitucional. La demanda solicita por otrosí la suspensión del proceso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septiembre de 2019, la Sección Segunda de este Tribunal acuerda admitir a trámite el recurso y dirigir comunicación al Juzgado de Primera Instancia e Instrucción núm. 6 de Lorca, a fin de que, en el plazo de diez días, remita certificación o fotocopia adveradas de las actuaciones correspondientes a los autos de ejecución hipotecaria y emplace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acuerda formar la oportuna pieza para la tramitación del incidente de suspensión y, conforme a lo dispuesto en el art. 56 de la Ley Orgánica del Tribunal Constitucional (LOTC), concede un plazo común de tres días a la parte recurrente y al ministerio fiscal para que aleguen lo que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20 de septiembre de 2019, la demandante de amparo insiste en que la ejecución se ha despachado con vulneración de su derecho a la tutela judicial efectiva. Añade que la doctrina constitucional ha accedido a suspender ejecuciones hipotecarias en otros casos y que no hacerlo en el presente conduciría a situaciones irreversibles con inevitables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3 de octubre siguiente, el ministerio fiscal interesa que se acuerde la anotación preventiva de la demanda en el registro de la propiedad, por más que no haya sido solicitada. Tras exponer la doctrina constitucional sobre suspensión de resoluciones impugnadas, considera que, de no adoptarse la anotación preventiva de la demanda, la tutela que el Tribunal pudiera otorgar corre el riesgo de ser incompleta; dejaría abierta la posibilidad de que la finca sea transmitida a un tercero de buena fe mientras se sustancia y resuelve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Personada en las actuaciones principales la entidad Pera Assets Designated Activity Company, el secretario de justicia de la Sala Primera, mediante diligencia de ordenación de 21 de octubre de 2019, le concede un plazo de tres días para alegar en relación con la petición de suspensión interesada por la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de 28 de octubre de 2019, la entidad Pera Assets Designated Activity Company, representada por la procuradora de los tribunales, doña Blanca María Grande Pesquero, afirma que Banco Sabadell le ha cedido el crédito hipotecario y que, en virtud del régimen de sucesión procesal, las actuaciones deben continuarse con ella. Tras ello se opone a la suspensión solicitada a la vista de la doctrina constitucional, la vaguedad de la petición formulada, la mala fe procesal demostrada y el no ofrecimiento de un principio razonable de prueba ni caución o fianza razonable.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resolver sobre la procedencia de la medida cautelar instada por la parte recurrente en amparo y dirigida frente al procedimiento de ejecución hipotecaria núm. 57-2018 seguido en el Juzgado de Primera Instancia e Instrucción núm. 6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esta razón se configura como una medida de carácter excepcional y de aplicación restrictiva (por todos, AATC 117/2015, de 6 de julio, FJ 1, y 59/2017, de 24 de abril, FJ 1).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Debe mostrar que la ejecución del acto recurrido puede privar a la demanda de amparo de su finalidad, provocando que el restablecimiento del recurrente en el derecho constitucional vulnerado sea tardío y convirtiendo en meramente ilusorio y nominal el amparo impetrado [AATC 51/1989, de 30 de enero, 144 290/1995, de 23 de octubre, 370/1996, de 16 de diciembre, 283/1999, de 29 de noviembre, 90/2014, de 27 de marzo, FJ 1; 190/2015, de 5 de noviembre, FJ 2 a); 59/2017, de 24 de abril, 146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expuesta al caso aquí planteado permite concluir, de acuerdo con el ministerio fiscal, que resulta improcedente la suspensión solicitada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 situación, no es posible afirmar que la continuación del curso del procedimiento judicial, incluso con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lo reputa idóneo para evitar el perjuicio derivado de que la adquisición del bien por tercero lo haga irreivindicable. Esta ha sido la solución acogida recientemente, entre otros, en los AATC 2/2019, 178 de 9 de enero, 88/2018, de 17 de septiembre, y 106/2017, de 17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el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188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192 de 15 de diciembre, 230/2007, de 7 de mayo, FJ 3; y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57-2018 seguido en el Juzgado de Primera Instancia e Instrucción núm. 6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