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25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en el recuros de amparo núm. 2003-2019, promovido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mercantil Euroinversiones Inmobiliarias Costa Sur, S.L., representada por la procuradora de los tribunales doña Blanca Berriatua Horta, con asistencia letrada de don Marcelino Gilabert García, solicita la suspensión del proceso de ejecución hipotecaria núm. 57-2018 tramitado por el Juzgado de Primera Instancia e Instrucción núm. 6 de Lorca. Lo hace por otrosí en el escrito de 27 de marzo de 2019 por el que interpone recurso de amparo contra los autos de 17 de septiembre de 2018 y 11 de febrero del año siguiente recaídos en aquel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sobre la medida cautelar solicitada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6 de Lorca se sigue procedimiento de ejecución hipotecaria núm. 57-2018 promovido por la entidad Banco de Sabadell, S.A., frente a las sociedades Euroinversiones Inmobiliarias Costa Sur, S.L., en calidad de prestataria e hipotecante, y Penrei Inversiones, S.L., en calidad de titular del derecho uso del inmueble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Despachada ejecución por auto de 29 de mayo de 2018, las sociedades demandadas fueron requeridas y notificadas el 30 del mismo mes a través de la Sede Judicial Electrónica.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26 de julio de 2018, las sociedades demandadas formulan oposición a la ejecución despachada. Por auto de 17 de septiembre del mismo año fue inadmitida por extemporánea, tomando como fecha de notificación el 30 de mayo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ejecutada Euroinversiones Inmobiliarias Costa Sur, S.L., interpone recurso de reposición. Alega que las diligencias de notificación y requerimiento se realizaron el 15 de julio de 2018. La comunicación remitida a través de la dirección electrónica habilitada no sería más que un aviso de puesta a disposición o descarga de su contenido durante un plazo determinado. Entenderlo de otro modo vulneraría el art. 24 CE, además de los arts. 135, 152, 160, 162 de la Ley 1/2000, de 7 de enero,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desestimado por auto de 11 de febrero de 2019. El órgano judicial razona a la vista del art. 43 de la Ley 39/2015, de 1 de octubre, de procedimiento administrativo común, que la sociedad demandada contaba con diez días para acceder al contenido de la resolución y, con ello, para tenerse por notificada. En el presente caso, el 30 de mayo de 2018 la notificación estaba ya disponible. El escrito de oposición se formuló el 26 de julio y, por tanto, claramente fuera del plazo establecido en el art. 556.1 LEC (diez días desde la notificación del auto que despacha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atribuye a los autos impugnados la vulneración del derecho fundamental de la sociedad recurrente a la tutela judicial efectiva y a un proceso con garantías y sin indefensión (art. 24.1 y 2 CE). La interpretación de la legislación procesal, realizada a partir de una ley de procedimiento administrativo, habría privado injustamente a la recurrente de su derecho a formular oposición a la ejecución hipotecaria. Tratándose de un primer emplazamiento, debió realizarse del modo tradicional (art. 273 LEC). El órgano judicial habría incumplido su obligación de asegurar, no ya la legalidad formal de los actos de comunicación, sino el cumplimiento efectivo de su finalidad constitucional. La demanda solicita por otrosí la suspensión del proceso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septiembre de 2019, la Sección Segunda de este Tribunal acuerda admitir a trámite el recurso y dirigir comunicación al Juzgado de Primera Instancia e Instrucción núm. 6 de Lorca, a fin de que, en el plazo de diez días, remita certificación o fotocopia adveradas de las actuaciones correspondientes a los autos de ejecución hipotecaria y emplace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acuerda formar la oportuna pieza para la tramitación del incidente de suspensión y, conforme a lo dispuesto en el art. 56 de la Ley Orgánica del Tribunal Constitucional (LOTC), concede un plazo común de tres días a la parte recurrente y al ministerio fiscal para que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20 de septiembre de 2019, la demandante de amparo insiste en que la ejecución se ha despachado con vulneración de su derecho a la tutela judicial efectiva. Añade que la doctrina constitucional ha accedido a suspender ejecuciones hipotecarias en otros casos y que no hacerlo en el presente conduciría a situaciones irreversibles con inevitables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30 del mismo mes, el ministerio fiscal interesa que se acuerde la anotación preventiva de la demanda en el registro de la propiedad, por más que no haya sido solicitada. Tras exponer la doctrina constitucional sobre suspensión de resoluciones impugnadas, considera que, de no adoptarse la anotación preventiva de la demanda, la tutela que el Tribunal pudiera otorgar corre el riesgo de ser incompleta; dejaría abierta la posibilidad de que la finca sea transmitida a un tercero de buena fe mientras se sustancia y resuelve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Personada en las actuaciones principales la entidad Pera Assets Designated Activity Company, el secretario de justicia de la Sala Primera, mediante diligencia de ordenación de 21 de octubre de 2019, le concede un plazo de tres días para alegar en relación con la petición de suspensión interesada por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de 28 de octubre de 2019, la entidad Pera Assets Designated Activity Company, representada por la procuradora de los tribunales, doña Blanca María Grande Pesquero, afirma que Banco Sabadell le ha cedido el crédito hipotecario y que, en virtud del régimen de sucesión procesal, las actuaciones deben continuarse con ella. Tras ello se opone a la suspensión solicitada a la vista de la doctrina constitucional, la vaguedad de la petición formulada, la mala fe procesal demostrada y el no ofrecimiento de un principio razonable de prueba ni caución o fianza razonable.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resolver sobre la procedencia de la medida cautelar instada por la parte recurrente en amparo y dirigida frente al procedimiento de ejecución hipotecaria núm. 57-2018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se configura como una medida de carácter excepcional y de aplicación restrictiva (por todos, AATC 117/2015, de 6 de julio, FJ 1, y 59/2017, de 24 de abril, FJ 1).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Debe mostrar que la ejecución del acto recurrido puede privar a la demanda de amparo de su finalidad, provocando que el restablecimiento del recurrente en el derecho constitucional vulnerado sea tardío y convirtiendo en meramente ilusorio y nominal el amparo impetrado [AATC 51/1989, de 30 de enero, 144 290/1995, de 23 de octubre, 370/1996, de 16 de diciembre, 283/1999, de 29 de noviembre, 90/2014, de 27 de marzo, FJ 1; 190/2015, de 5 de noviembre, FJ 2 a); 59/2017, de 24 de abril, 146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150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expuesta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 situación,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lo reputa idóneo para evitar el perjuicio derivado de que la adquisición del bien por tercero lo haga irreivindicable. Esta ha sido la solución acogida recientemente, entre otros, en los AATC 2/2019, 178 de 9 de enero, 88/2018, de 17 de septiembre, y 106/2017,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188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192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57-2018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