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2004-2019, promovido por Euroinversiones Inmobiliarias Costa Sur, S.L., en procedimiento de ejecución hipotecaria núm. 50-2018,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marzo de 2019, la entidad Euroinversiones Inmobiliarias Costa Sur, S.L., representada por la procuradora de los tribunales doña Blanca Berriatua Horta y bajo la dirección del letrado don Marcelino Gilabert Costa, interpuso recurso de amparo contra los autos dictados por el Juzgado de Primera Instancia e Instrucción núm. 6 de Lorca en el procedimiento de ejecución hipotecaria núm. 50-2018 en fechas 17 de septiembre de 2018 y 11 de febrero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50-2018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29 de mayo de 2018 se acordó despachar ejecución frente las sociedades demandadas. El citado auto y el decreto de la misma fecha fueron comunicados a las citadas entidades a través de la Sede Judicial Electrónica el día 30 de mayo de 2018. El mismo día, el Servicio de Notificaciones Electrónicas de la Fábrica Nacional de Moneda y Timbre remitió a la demandante de amparo, a través de la dirección electrónica habilitada, una notificación del siguiente tenor: “[l]a Notificación estará disponible en su dirección electrónica habilitada única desde el 30 de mayo de 2018 hasta el 15 de julio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presentó escrito de oposición a la ejecución despachada, en fecha 26 de julio de 2018. Por auto de 17 de septiembre de 2018 se acordó su inadmisión por presentación extemporánea, al considerarse que había transcurrido el plazo de diez días previsto en 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30 de mayo de 2018 sino el 15 de julio de 2018 y que la comunicación remitida a través de la dirección electrónica habilitada no puede entenderse más que como un aviso de puesta a disposición o descarga de su contenido durante un plazo determinado (en el caso desde el 26 de abril al 11 de junio de 2018). De ahí que, al haber accedido a dicha comunicación el día 15 de julio de 2018, es en ese día cuando debe entenderse efectuada la notificación. Y entenderlo de otro modo, además de infringir los arts. 135, 152, 160, 162 y 273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11 de febrero de 2019. Según consta en la indicada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y 273.3 LEC. Añade que “[e]n el presente caso, consta que la notificación se puso a disposición de las recurrentes en fecha 30 de mayo de 2018 no accediendo al contenido hasta el 15 de julio de 2018 (fuera de los tres días siguientes que establece la normativa procesal), presentando los escritos de oposición a la ejecución en fecha 26 de julio de 2018, claramente fuera del plazo legalmente establecido en el art. 556.1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y accedió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que el órgano judicial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2019, la Sección Tercera de este Tribunal acordó admitir a trámite el recurso de amparo y dirigir comunicación al el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noviembre de 2019, la parte demandante formuló sus alegaciones, en el cual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el 12 de noviembre del 2019. En síntesis, interesa que se acuerde la anotación preventiva de la demanda en el registro de la propiedad. Tras compendiar la doctrina constitucional relativa a la suspensión prevista en el art. 56 LOTC, sostiene que, si bien la medida a la que alude no ha sido solicitada en el recurso de amparo, en el presente caso tampoco la petición de suspensión se fundamenta de manera suficiente por la parte recurrente. Además,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50-2018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50-2018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