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25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3089-2019, promovido por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mayo de 2019, tuvo entrada en el registro general de este Tribunal Constitucional un escrito de la procuradora doña Blanca Berriatua Horta, en representación de la entidad Penrei Inversiones, S.L., por el que interpuso recurso de amparo contra el auto de 17 de septiembre de 2018 del Juzgado de Primera Instancia e Instrucción núm. 6 de Lorca, que inadmitió el escrito de oposición a la ejecución hipotecaria promovida por Banco de Sabadell, S.A., y contra el auto del mismo juzgado, de 8 de abril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17 de septiembre de 2018, el Juzgado de Primera Instancia e Instrucción núm. 6 de Lorca dictó un auto en el procedimiento de ejecución hipotecaria núm. 70-2018 por el que acordó: “Inadmitir a trámite la oposición formulada por la parte ejecutada Euroinversiones Inmobiliarias Costa Sur S.L., y Penrei Inversiones, S.L., […] por presentación fuera de plazo, contra Banco Sabadell, S.A.”,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en el plazo de los diez días siguientes a la notificación del auto y del decreto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8 de abril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21 de junio de 2018 no accediéndose al contenido hasta el día 2 de agosto de 2018 respecto de Euroinversiones y el 27 de julio de 2018 respecto de Penrei (fuera de los tres días que establece la normativa procesal), presentando los escritos de oposición a la ejecución en fecha 29 de agosto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[sic]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17 de septiembre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8 de abril siguiente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“demanda de oposición al despacho de ejecución formulada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70/2018 seguido ante el Juzgado de Primera Instancia e Instrucción número 6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28 de octubre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y porque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e Instrucción número [6] de Lorca, a fin de que, en plazo que no exceda de diez días, remita certificación o fotocopia adverada de las actuaciones correspondientes al procedimiento de ejecución hipotecaria número [70]/2018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28 de octubre de 2019, se dispuso “formar con la precedente fotocopia, la oportuna pieza para la tramitación del incidente sobre suspensión y conforme determina el artículo 56 de la Ley Orgánica de este Tribunal, conceder un plazo común de 3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5 de noviembre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de 2013, reiterando a renglón seguido las vulneraciones constitucionales de fondo que aduce en su demanda, e indicando que, de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8 de noviembre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de la Ley Orgánica del Tribunal Constitucional (LOTC) y reproducir lo declarado en el ATC 127/2015, de 20 de julio, FJ 1, en relación con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el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tercero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“puede acabar afectando a derechos futuros de terceros adquirientes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70-2018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70-2018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