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1002-2019, promovido por Seditex Global, S.L.U., y Seditex Valladolid, S.L., en relación con procedimiento por despido,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febrero de 2019, las entidades Seditex Global, S.L.U., y Seditex Valladolid, S.L., representadas por la procuradora de los tribunales doña Maria Esperanza Azpeitia Calvin, con asistencia letrada de don Carlos González-Cascos Jiménez, interpusieron recurso de amparo contra la providencia del Juzgado de lo Social núm. 3 de León, de 18 de diciembre de 2018, por la que se inadmite la solicitud de nulidad de actuaciones que habían dirigido contra todas las practicadas en el procedimiento núm. 923-2017, sobre impugnación de despido objetivo individual, en el que el emplazamiento inicial y el resto de comunicaciones procesales se realizaron a través de su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procesales relevantes para resolver la pretensión planteada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el núm. 923-2017, previo acto de conciliación intentado sin avenencia, se tramitó ante el Juzgado de lo Social núm.3 de León, un procedimiento por despido objetivo individual en virtud de la demanda presentada por una trabajadora contra las entidades demandantes de amparo. Una vez admitida a trámite la demanda, las entidades Seditex Global, S.L.U., y Seditex Valladolid, S.L., fueron emplazadas electrónicamente en su dirección electrónica habilitada, sin que comparecieran en el proceso, por lo que éste continuó sin su participación, hasta finalizar mediante sentencia estimatoria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instancias de la trabajadora, y con fundamento en la sentencia estimatoria, se incoaron por el mismo juzgado los procedimientos de ejecución de títulos judiciales núm. 3-2019, sobre declaración de extinción de la relación laboral, y núm. 86-2018 en reclamación a las demandadas del pago de las cantidades reclamadas. En dicho procedimiento, según manifiestan las actoras, se procedió al embargo de la cantidad de 3.645,07 €, y, además, debieron aportar aval bancario por importe de 23.524,66 €, lo que ha determinado que se acuerde la suspensión de la ejecución por decreto de 9 de abril de 2019, según afirman las actoras.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demandantes de amparo manifiestan haber sabido de la existencia del proceso de ejecución, y del previo de despido del que trae causa, al realizar averiguaciones tras conocer el embargo de sus cuentas corrientes como consecuencia de otro procedimiento de despido. Afirman que, después de tener noticia de este hecho, se personaron en la causa seguida ante el Juzgado de lo Social núm. 3 de León mediante escrito de fecha 16 de noviembre de 2018, y promovieron incidente de nulidad de actuaciones en el proceso por despido núm. 923-2017.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solicitud de nulidad planteada en el procedimiento por despido dio lugar a una pieza separada, y fue inadmitida por providencia de 18 de diciembre de 2018, tras entender el juzgador que no se había producido la indefensión denunciada, tanto porque la sentencia estimatoria había sido notificada a las demandadas, como porque la solicitud de nulidad de actuaciones carecía de soporte fáctico al aparecer electrónicamente documentado que sí habían recibido las notificaciones cuyo desconocimiento alegaron. Además, no se estaría en el supuesto del art. 241.1 de la Ley Orgánica del Poder Judicial, porque las promotoras de la nulidad de actuaciones podían haber interpuesto recurso de suplicación contra la sentencia recaída en el procedimiento de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cuya lesión se denuncia en la demanda de amparo es el reconocido en el art. 24.1 CE, concretamente en cuanto establece la interdicción de la indefensión exigiendo un conocimiento efectivo de la existencia del proceso a fin de que, en él, pueda el demandado ejercer una defensa eficaz de sus intereses. En el suplico se solicita la declaración de la vulneración del derecho fundamental alegado, así como la nulidad de la providencia de 18 de diciembre de 2018 recurrida y de todas las actuaciones procesales practicadas en dicho procedimiento antes de su emplazamiento, con retroacción a dicho momento a fin de que conozcan la demanda y puedan intervenir y defenderse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se solicita en la demanda de amparo la suspensión cautelar de “todas las ejecuciones” que, ante dicho juzgado, deriven del citado procedimiento núm. 923-2017.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través de providencia de 30 de septiembre de 2019, la Sección Segunda de este Tribunal acordó admitir a trámite el recurso de amparo y dirigir comunicación al Juzgado de lo Social núm. 3 de León, a fin de que, en el plazo de diez días, remitiera certificación o fotocopia adverada de las actuaciones correspondientes al procedimiento judicial precedente, y emplazara a quienes hubieran sido parte en el mismo, excepto las demandantes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concedió un plazo común de tres días a la parte demandante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8 de octubre de 2019, las demandantes formularon sus alegaciones reiterando su petición de suspensión del proceso de ejecución de títulos judiciales, a lo que se añade la petición de que se ordene cautelarmente a la trabajadora la devolución de las cantidades embargadas en el proceso judicial previo que le fueron entregadas, ofreciendo aval para garantizar su devolución. Fundamenta su pretensión cautelar en la cuantía de dicha cantidad, cuya entrega a la actora en el proceso judicial previo, según dicen, podría ocasionarles un perjuicio irreparable para el caso de ser estimado el recurso de amparo y de que aquella deviniera sobrevenidamente insolvente. Se alegan también las dificultades materiales de gestión económica que el embargo produce sobre el normal funcionamiento de las empresas, afectando a sus trabajadores, así como la pérdida de confianza que el propio embargo puede ocasionar en clientes y proveedores.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14 de octubre de 2019, el ministerio fiscal formuló sus alegaciones. Tras exponer los antecedentes del caso y recordar la doctrina constitucional en materia de suspensión de los efectos del acto o sentencia impugnados a través del correspondiente recurso de amparo, en especial en lo que se refiere a los alegados perjuicios de carácter patrimonial o económico (AATC 81/2012, de 7 de mayo, 9/2018, de 5 de febrero, y 68/2019, de 1 de junio), destaca que el perjuicio alegado es simplemente económico y susceptible de ser reparado en la hipótesis de que la demanda de amparo fuera estimada, y que las demandantes no han justificado documentalmente ni los perjuicios ni su irreparabilidad. En caso de que el Tribunal accediera a la suspensión solicitada, entiende procedente que debe quedar supeditada a la previa prestación de una fianza que permita asegurar los daños y perjuicios que pueda causar la suspensión de la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las pretensiones cautelares planteadas por las demandantes de amparo respecto del procedimiento de ejecución de títulos judiciales seguido ante el Juzgado de lo Social núm. 3 de León, a consecuencia de la sentencia dictada en el procedimiento de despido objeto individual núm. 923-2017. Consideran las demandantes que su continuación les causaría un perjuicio económico difícilmente reparable si fuera finalmente llevada a efecto la ejecución, en la que le fue embargada la cantidad de 3.645,07 € y aportaron, además, aval bancario por importe de 23.524,66 €. Cabe destacar desde ahora que, aunque la lesión aducida se habría producido en el proceso de despido, la suspensión que se pretende se refiere al proceso de ejecución de la resolución estimatoria que puso fin a aquel.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en la redacción dada por la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Complementaria o subsidiariamente, a tenor de lo establecido en el apartado tercero del mismo precepto, este Tribunal puede adoptar “cualesquiera medidas cautelares y resoluciones provisionales previstas en el ordenamiento, que, por su naturaleza, puedan aplicarse en el proceso de amparo y tiendan a evitar que el recurso pierda su finalidad”, por tanto, no necesariamente las mismas han de tener por objeto el proceso en el que se haya producido la vulneración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hemos entendido por perjuicio irreparable aquel que provoque que el restablecimiento del recurrente en el derecho constitucional vulnerado sea tardío y convierta el amparo en meramente ilusorio y nominal (por todos, AATC 274/2008, de 15 de septiembre, 26/2009, de 26 de enero, y 173/2009, de 1 de junio).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(por todos,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particular,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63/2001, de 26 de marzo, FJ 1; 170/2001, de 22 de junio, FJ 1; 9/2003, de 20 de enero, FJ 1; 338/2005, de 26 de septiembre, FJ 1; 286/2007, de 18 de junio, FJ 1, y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relación a los perjuicios de carácter patrimonial o económico hemos señalado que, por más que puedan producir efectos desfavorables a quien demanda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sólo si el recurrente en amparo justificase cumplidamente que el no otorgamiento de la suspensión le ocasionaría un perjuicio irreparable que haría perder al amparo su finalidad, y siempre que de dicha medida cautelar no se siga una perturbación grave de los intereses generales o de los derechos y libertades fundamentales de un tercero, procedería acordar la suspensión interesada. Por ello, como se recuerda, por ejemplo, en el ATC 81/2012, de 7 de mayo, FJ 2, al que se refiere el ministerio fiscal, se ha otorgado la suspensión en supuestos muy concretos en los que la ejecución de las resoluciones recurridas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este sea irrecuperable (por todos, AATC 565/1986, 52/1989, 222/1992, 183/1996, 5/1997, 52/1997, 287/1997, 99/1998 y 161/1999), así como de demolición de viviendas (ATC 225/1999, de 27 de septiembre)”.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e incluso en supuestos de privación temporal del uso de la vivienda de la que es propietario el recurrente y que constituye su residencia habitual (en ese sentido, ATC 9/2018, de 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al caso aquí planteado de la doctrina reseñada permite concluir, de acuerdo con el ministerio fiscal, que procede denegar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las recurrentes solicitan la suspensión del procedimiento de ejecución de resoluciones judiciales en el que se les reclaman las cantidades fijadas como debidas en el previo proceso de despido. Como hemos anticipado, la vulneración del derecho fundamental aducido se habría producido en aquel proceso previo al que habrían sido convocadas de forma indebida a través de su dirección electrónica habilitada. Tal disociación no impide en sí misma el análisis de la suspensión cautelar pretendida, en cuanto la ejecución dineraria tiene como título la sentencia que puso fin al proceso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para ser atendida su pretensión, el perjuicio económico alegado ha de ser actual y su irreparabilidad acreditada. Pues bien, en este caso no cabe sostener que el perjuicio aducido sea real, ya que, como han señalado en su escrito de alegaciones las demandantes de amparo, la ejecución ha quedado suspendida tras realizarse el embargo de una cantidad y aportar aquellas un aval bancario, sin que conste que se haya entregado a la trabajadora despedida alguna cantidad. Junto a ello, las dificultades de reparación alegadas ni han sido acreditadas documentalmente ni pueden compartirse, dada su naturaleza meramente económica. Tampoco la cuantía de las cantidades ya embargadas pone de manifiesto en sí misma la irreparabilidad de los perjuicios económicos que le pudiera causar la ejecución reseñada. Las demandantes se refieren a un supuesto hipotético que se daría en el caso de que la trabajadora deviniera insolvente; pero esta circunstancia en modo alguno ha sido tampoco indiciariamente acreditada con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procede acceder a la pretensión cautelar interesada, ni en relación con el embargo dinerario acordado, ni con la continuación del proceso de ejecución, pues, atendidas las circunstancias ya reseñadas, no se acredita la existencia de daños irreversibles o de muy difícil reparación que impidan la efectividad de la restauración del derecho fundamental vulnerado en caso de un eventual otorgamiento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