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1591-2019, promovido por Penrei Inversiones, S.L., en procedimiento de ejecución hipotecaria núm. 64-2018,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marzo de 2019, la entidad Penrei Inversiones, S.L., representada por la procuradora de los tribunales doña Blanca Berriatua Horta y bajo la dirección de la letrado doña Anju Nirmala Benavent Rodríguez, interpuso recurso de amparo contra los autos dictados por el Juzgado de Primera Instancia e Instrucción núm. 6 de Lorca en el procedimiento de ejecución hipotecaria núm. 64-2018 en fechas 19 de septiembre de 2018 y 22 de enero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64-2018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junio de 2018 se acordó despachar ejecución frente a las sociedades demandadas. El citado auto y el decreto de la misma fecha fueron comunicados a las citadas entidades a través de la sede judicial electrónica el día 21 de junio de 2018. El mismo día, el servicio de notificaciones electrónicas de la Fábrica Nacional de Moneda y Timbre remitió a la demandante de amparo, a través de la dirección electrónica habilitada, una notificación del siguiente tenor: “[l]a Notificación estará disponible en su Dirección Electrónica Habilitada única desde el 21 de junio de 2018 hasta el 6 de agosto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demandante presentó escrito de oposición a la ejecución despachada en fecha 27 de agosto de 2018. Por auto 19 de septiembre de 2018 se acordó su inadmisión por presentación extemporánea, al considerarse que había transcurrido el plazo de diez días previsto en el art. 695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21 de junio de 2018, sino el 27 de julio de 2018, y que la comunicación remitida a través de la dirección electrónica habilitada no puede entenderse más que como un aviso de puesta a disposición o descarga de su contenido durante un plazo determinado (en el caso desde el 21 de junio al 27 de julio de 2018). De ahí que al haber accedido a dicha comunicación el día 27 de julio de 2018, es en ese día, cuando debe entenderse efectuada la notificación. Y entenderlo de otro modo, además de infringir los arts. 135, 152, 160, 162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22 de enero de 2019. Según consta en la indicada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y 273.3 LEC. Según se afirma en la indicada resolución, “[e]n el presente caso, consta que la notificación se puso a disposición de las recurrentes en fecha 21 de junio de 2018 no accediendo al contenido hasta el 27 de julio de 2018 (fuera de los tres días que establece la normativa procesal), presentando los escritos de oposición a la ejecución en fecha 27 de agosto de 2018, claramente fuera del plazo legalmente establecido en el art. 556.1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Aduce que siguió la literalidad de las instrucciones contenidas en un correo electrónico que recibió procedente del servicio de notificaciones electrónicas y accedió al contenido de la notificación dentro del plazo establecido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afirma que el órgano judicial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octubre de 2019, la Sección Tercera de este Tribunal acordó admitir a trámite el recurso de amparo y dirigir comunicación al el Juzgado de Primera Instancia e Instrucción núm. 6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8 de noviembre de 2019, la parte demandante formuló sus alegaciones, en el cual reitera lo interesado en el otrosí de su demanda, con sustento en el ATC 287/2013, de 16 de diciembre, cuyo contenido parcialmente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el 12 de noviembre del 2019. En síntesis, interesa que se acuerde la anotación preventiva de la demanda en el registro de la propiedad. Tras compendiar la doctrina constitucional relativa a la suspensión prevista en el art. 56 LOTC, sostiene que la solicitud de la medida de suspensión solo alude a la pérdida de finalidad del recurso, para el caso de que llegara a celebrarse la subasta, pero no ofrece ninguna razón que justifique esa pérdida de finalidad a que alude. Además, considera más eficaz la anotación preventiva de la demanda en el registro de la propiedad, medida mediante la cual se daría publicidad a terceros de la pendencia del recurso y se evitaría que un hipotético tercer adquirente del inmueble hipotecado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64-2018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pues la medida idónea es la anotación preventiva de la demanda en el registro de la propiedad.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encuentra en la fase inicial una vez rechazada la oposición a la ejecución y que el inmueble sobre el que se sigue tal ejecución está constituido por una vivienda cuya situación posesoria no consta.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217/2012, de 26 de noviembre, FJ 2;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64-2018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