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1593-2019, promovido por Euroinversiones Inmobiliarias Costa Sur, S.L., en procedimiento de ejecución hipotecaria núm. 64-2018,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marzo de 2019, la entidad Euroinversiones Inmobiliarias Costa Sur, S.L., representada por la procuradora de los tribunales doña Blanca Berriatua Horta y bajo la dirección del letrado don Marcelino Gilabert García , interpuso recurso de amparo contra los autos dictados por el Juzgado de Primera Instancia e Instrucción núm. 6 de Lorca en el procedimiento de ejecución hipotecaria núm. 64-2018 en fechas 19 de septiembre de 2018 y 22 de enero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64-2018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junio de 2018 se acordó despachar ejecución frente a las sociedades demandadas. El citado auto y el decreto de la misma fecha fueron comunicados a las citadas entidades a través de la sede judicial electrónica el día 21 de junio de 2018. El mismo día, el servicio de notificaciones electrónicas de la Fábrica Nacional de Moneda y Timbre remitió a la demandante de amparo, a través de la dirección electrónica habilitada, una notificación del siguiente tenor: “[l]a Notificación estará disponible en su Dirección Electrónica Habilitada única desde el 21 de junio de 2018 hasta el 6 de agosto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demandante presentó escrito de oposición a la ejecución despachada, en fecha 27 de agosto de 2018. Por auto 19 de septiembre de 2018 se acordó su inadmisión por presentación extemporánea, al considerarse que había transcurrido el plazo de diez días previsto en el art. 695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21 de junio de 2018, sino el 27 de julio de 2018, y que la comunicación remitida a través de la dirección electrónica habilitada no puede entenderse más que como un aviso de puesta a disposición o descarga de su contenido durante un plazo determinado (en el caso desde el 21 de junio al 27 de julio de 2018). De ahí que, al haber accedido a dicha comunicación el día 27 de julio de 2018, es en ese día cuando debe entenderse efectuada la notificación. Y entenderlo de otro modo, además de infringir los arts. 135, 152, 160, 162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22 de enero de 2019. Según consta en la indicada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y 273.3 LEC. Según se afirma en la indicada resolución “en el presente caso, consta que la notificación se puso a disposición de las recurrentes en fecha 21 de junio de 2018 no accediendo al contenido hasta el 27 de julio de 2018 (fuera de los tres días que establece la normativa procesal), presentando los escritos de oposición a la ejecución en fecha 27 de agosto de 2018, claramente fuera del plazo legalmente establecido en el art. 556.1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Aduce que siguió la literalidad de las instrucciones contenidas en un correo electrónico que recibió procedente del servicio de notificaciones electrónicas y accedió al contenido de la notificación dentro del plazo establecido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afirma que el órgano judicial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octubre de 2019, la Sección Tercera de este tribunal acordó admitir a trámite el recurso de amparo y dirigir comunicación al el Juzgado de Primera Instancia e Instrucción núm. 6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8 de noviembre de 2019, la parte demandante formuló sus alegaciones, en el cual reitera lo interesado en el otrosí de su demanda, con sustento en el ATC 287/2013, de 16 de diciembre, cuyo contenido parcialmente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el 12 de noviembre del 2019. En síntesis, interesa que se acuerde la anotación preventiva de la demanda en el registro de la propiedad. Tras compendiar la doctrina constitucional relativa a la suspensión prevista en el art. 56 LOTC, sostiene que la solicitud de la medida de suspensión solo alude a la pérdida de finalidad del recurso, para el caso de que llegara a celebrarse la subasta, pero no ofrece ninguna razón que justifique esa pérdida de finalidad a que alude. Además, considera más eficaz la anotación preventiva de la demanda en el registro de la propiedad, medida mediante la cual se daría publicidad a terceros de la pendencia del recurso y se evitaría que un hipotético tercer adquirente del inmueble hipotecado quede especialmente protegido por su buena fe en la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64-2018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pues la medida idónea es la anotación preventiva de la demanda en el registro de la propiedad.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el procedimiento se encuentra en la fase inicial una vez rechazada la oposición a la ejecución y que el inmueble sobre el que se sigue tal ejecución está constituido por una vivienda cuya situación posesoria no consta.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 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217/2012, de 26 de noviembre, FJ 2;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64-2018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