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16 de diciembre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2447-2019, promovido por Promociones Arkimar,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abril de 2019, tuvo entrada en el registro general de este Tribunal Constitucional un escrito de la procuradora doña Josefa Garcerán Martínez, en representación de la entidad Promociones Arkimar, S.L., por el que interpuso recurso de amparo contra la providencia de 22 de febrero de 2019 del Juzgado de Primera Instancia e Instrucción núm. 4 de San Javier, que inadmitió el incidente de nulidad de actuaciones promovido por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15 de febrero de 2017 la entidad Cajamar Caja Rural, sociedad cooperativa de crédito, interpuso demanda ejecutiva en reclamación de deudas garantizadas con hipoteca contra la ahora recurrente, Arkimar, S.L. En la demanda se fijaba como domicilio de Arkimar, S.L., la calle Cánovas del Castillo núm. 88, en la localidad de Santiago de la Ribera en el municipio de San Javier (Murcia). Mediante “otrosí”, la entidad demandante solicitaba “de conformidad con lo establecido con el art. 152 LEC […] que se habilite al procurador que suscribe a realizar únicamente la notificación de la ejecución y el requerimiento de pago, pudiendo efectuar la misma en días y horas inhábiles”.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demanda fue turnada al Juzgado de Primera Instancia e Instrucción núm. 4 de San Javier, que, en fecha 24 de abril de 2017, en el seno de la ejecución hipotecaria núm. 41-2017, dictó auto despachando ejecución contra la ahora demandante de amparo, disponiéndose en dicha resolución la notificación del requerimiento de pago en los términos del art. 553 LEC. Mediante decreto de la misma fecha, el letrado de la administración de justicia dispuso la notificación del requerimiento de pago “en el domicilio que resulte vigente en el registro conforme a lo previsto en el art. 686.2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escrito de 23 de mayo de 2017 la parte ejecutante interesó que el requerimiento y notificación se efectuaran en una nueva dirección, calle Ronda Norte núm. 69 de San Javier, petición reiterada en nuevo escrito datado el siguiente 24 de mayo de 2017, en el que además reproducía la petición de habilitación del procurador para tal fin, como ya había interesado en la demanda. Esta petición fue atendida por el letrado de la administración de justicia en diligencia de ordenación de 12 de junio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diligencia de entrega de fecha 4 de junio de 2017, el procurador de la parte ejecutante puso de manifiesto que a las 11:40 horas de ese mismo día se había constituido en el domicilio sito en la calle Ronda Norte núm. 69, indicando en la diligencia que “la mercantil demandada no es conocida, manifestándonos los vecinos que no pueden precisar ningún dato para su localización”. Se añade que “igualmente y coincidiendo con empleado del servicio de correos les pregunto sobre la misma, indicándome que no la conoce de nada”. La diligencia estaba firmada por el procurador y dos testigos.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diligencia de ordenación de 13 de julio de 2017, se acordó la averiguación del domicilio de la sociedad demandada a través del punto neutro judicial, dando como único resultado el domicilio señalado en la demanda (calle Cánovas del Castillo núm. 88). Mediante diligencia de ordenación de 13 de julio de 2017, se acordó “a la vista del paradero desconocido del ejecutado […] practicar el requerimiento al demandado de forma edictal”.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escrito de 19 de octubre de 2017, la parte ejecutante solicitó que se procediera a la convocatoria y anuncio de subasta, lo que fue acordado por decreto de 8 de noviembre de 2017. Por diligencia de ordenación de 21 de diciembre de 2017, el letrado de la administración de justicia dispuso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 cuenta, y a la vista de que el decreto acordando la subasta ha adquirido firmeza conforme a las normas procesales, sin perjuicio de la notificación acordada al ejecutado no personado, se procede a los efectos del art. 645 LEC y conforme a los (sic) actuales directrices de la Región de Murcia, a su remisión al portal electrónico de subastas de Murcia por medio de correo electrónico el cual se encargará de que la convocatoria de la subasta se anuncie en el ‘Boletín Oficial del Estado’ y portal de la administración de justicia y realizará las gestiones necesarias para la materialización de la subasta, lo que pongo en conocimiento de las partes personadas a los efectos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decreto de 18 de septiembre de 2018 se adjudicó a la ejecutante la finca objeto de garantía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La ahora demandante de amparo compareció en las actuaciones mediante escrito de 24 de enero de 2019 interesando el acceso al proceso y copia de las actuaciones en él practicadas. Mediante escrito de 18 de febrero de 2019 promovió, asimismo, un incidente excepcional de nulidad de actuaciones. En dicho escrito, la entidad recurrente alega que el día 22 de enero de 2019 su administrador único tuvo conocimiento “de forma totalmente casual […] de la posible existencia de un procedimiento de ejecución hipotecaria”. Como razones justificativas de la nulidad, señalaba las siguientes: (i) ni antes ni durante el procedimiento se ha practicado requerimiento alguno en la vivienda hipotecada que consta en el registro de la propiedad, calle, San Martín de Porres 120-2º A de Santiago de la Ribera ni tampoco en el domicilio que consta en la escritura del préstamo sito en la calle Cánovas del Castillo de Santiago de la Ribera, (ii) la diligencia de requerimiento intentada en la calle Ronda Norte núm. 69 de San Javier es defectuosa o irregular por las razones que explicita, entre otras, no haber dejado aviso en el buzón, (iii) la actora ha incumplido su obligación de aportar al órgano judicial cuantos datos conozca del demandado, datos que, en el caso presente, conocía por la intensa comunicación existente entre las partes, como lo demuestran los correos electrónicos que aporta con su escrito, que acreditan, entre otras cuestiones, la falta de actividad de la sociedad demandada y (iv) el órgano judicial también ha incumplido su obligación de extremar la búsqueda al no haber consultado los datos del registro mercantil y, dentro de él, los relativos a su administrador; invoca el art. 24.1 CE, cita en apoyo de su pretensión la doctrina constitucional en materia de actos de comunicación, SSTC 122/2013, de 20 de mayo, 200/2016, de 28 de noviembre, y 83/2018, de 16 de julio, cuyos fundamentos jurídicos 4 a 6 reproduce.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incidente fue inadmitido a trámite mediante providencia dictada por el órgano judicial el 22 de febrero de 2019, con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“Habiendo solicitado la representación procesal de Promociones Arkimar, S.L., la nulidad de actuaciones, indicar que, conforme al art. 228 LEC, no puede admitirse a trámite, dado que no se ha respetado el plazo que establece dicho precepto para pedir la nulidad: 20 días desde la notificación de la resolución o, en todo caso, desde que se tuvo conocimiento del defecto causante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procedimiento constan sucesivas notificaciones aceptadas a través de la sede electrónica desde mayo de 2017. En particular, el decreto de despacho de la ejecución consta aceptado por sede electrónica el 9 de mayo de 2017. Por tanto, ya desde esa fecha se pudo haber interesado la nulidad de actuaciones, pues ya se podía tener conocimiento de la existencia del procedimiento y de ese supuesto defecto que se afirma, dejando transcurrir sobradamente los 20 días que establece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art. 24.1 CE, en su vertiente de derecho a no padecer indefensión por una defectuosa notificación de la demanda y del resto de las resoluciones dictadas durante el procedimiento de ejecución hipotecaria seguido contra la actora, que le ha generado una efectiva indefensión al no haber tenido conocimiento y no poder defenderse, con negativa manifiesta del deber de acatamiento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demandante reitera las quejas formuladas en el escrito a través del cual promovía la nulidad de actuaciones y subraya los incumplimientos de la parte ejecutante —que califica de maquinación fraudulenta y omisiva— frente a los cuales el órgano judicial no habría “desplegado los medios a su alcance para garantizar el conocimiento de la demandada del proceso que se seguía contra ella (contraviniendo la pacífica doctrina de este tribunal); pues tratándose de una persona jurídica, es evidente que tiene un administrador; y que su nombre y datos personales se puede conocer con una simple consulta al registro mercantil e incluso con poner simplemente el nombre de la sociedad en Google, y averiguar el resto de sus datos personales a través del punto neutro judicial (consultando las bases de datos de la TGSS y la Agencia Tributaria). Este hecho se puede apreciar sin género de dudas de los emails cruzados entre ambas partes de fechas 5 de marzo de 2016, 15 de julio de 2016, 30 de agosto de 2016, 16 de octubre de 2016, 28 de diciembre de 2016, 9 de febrero de 2017, 9 de mayo de 2017, 7 de marzo de 2017 y 8 de junio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queja específicamente la demandante de la respuesta ofrecida en la providencia de 22 de febrero de 2019, al pretender validar las actuaciones y salvar la indefensión denunciada sobre la base de la aceptación de unas notificaciones electrónicas cuya recepción niega. Según explica, todas las notificaciones electrónicas fueron rechazadas automáticamente por el sistema. El rechazo automático se produce, de forma general, tras haber transcurrido diez días naturales desde su puesta a disposición para su acceso según el párrafo segundo, artículo 43, de la Ley 39/2015, de 1 de octubre, del procedimiento administrativo común de las administraciones públicas. Y de forma particular, superado el plazo establecido por la administración actuante de acuerdo a la normativa jurídica específica que sea de aplicación. Por otra parte, no existe acreditación documental en las actuaciones de qué notificación es la que se envió, ni el contenido de la misma, ni siquiera qué juzgado la envió ni el número de procedimiento; en el certificado consta “que a través de dicho servicio se envió la notificación con referencia: 59f8b3c809834 por el organismo emisor juzgados y tribunales para la DEHB73353468, con el siguiente resultado: Fecha de puesta a disposición: 31 de octubre de 2017 18:33:03; fecha de rechazo automático: 16 de diciembre de 2017 00:00:00”. Afirma que las únicas actuaciones que constan remitidas a través de la dirección electrónica habilitada se refieren a la diligencia de ordenación de 26 de octubre de 2017 por la que se insta a la actora a que identifique la localización exacta de la finca. La demandada no ha recibido en ningún momento por parte de la Agencia Tributaria ni de ningún otro organismo comunicación alguna sobre la obligación de incluirse en la dirección electrónica habilitada, ni de comunicar a ningún organismo un correo electrónico para recibir comunicaciones; por lo que jamás lo hizo.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asimismo, la demandante que el asunto que plantea tiene especial trascendencia constitucional “por cuanto que el órgano judicial se aparta claramente en negativa manifiesta del deber de acatamiento de la doctrina del Tribunal Constitucional”, ya que éste “ha tenido ocasión de pronunciarse en reiteradas ocasiones sobre quejas de indefensión producidas por la defectuosa realización de actos de comunicación procesal, consolidando una detallada doctrina al respecto”, doctrina esta que fue puesta de manifiesto al órgano judicial. La demandante también estima que el recurso puede dar ocasión al Tribunal para aclarar o cambiar doctrina como consecuencia de cambios normativos relevantes para la configuración del contenido del derecho fundamental [STC 155/2009, FJ 2 b)], en concreto en relación al hecho de “si es o no suficiente la notificación de un solo acto a lo largo del proceso de ejecución hipotecaria a una persona jurídica mediante la dirección electrónica habilitada, para darlo por notificado de todo el proceso, aun cuando dicha comunicación sea rechazada por la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digo” la entidad demandante solicita, al amparo del art. 56.2 de la Ley Orgánica del Tribunal Constitucional (LOTC), “la medida cautelar de suspensión de la sentencia [sic] recurrida en amparo”. Entiende la actora que la resolución recurrida “implica la continuación de la vía de apremio sobre la vivienda habitual de mi representado, en la que reside con su familia, su ejecución supondría la desposesión de mi representado y su familia en relación con su vivienda y la eventual adquisición por un tercero, que provocaría una situación irreversible, lo que conlleva que la cabal efectividad de una posible sentencia estimatoria futura quede ciertamente comprometida, quedando privado de finalidad el recurso”. Añade la recurrente que “si no se adopta la medida cautelar, se puede materializar la transmisión del dominio de la vivienda de mi representado, creando una situación difícilmente reversible que menoscabaría los fines del recurso interpuesto por esta representación, debiendo ponderarse, además, que la ejecución afecta a la esposa e hijos de mi representado, menores de edad, y que no existe una perturbación grave de terceros, puesto que, aun desestimándose el recurso, el acreedor fácilmente puede resarcirse pese a la dilación en la ejecución, quedando tutelada su posición con el devengo de los intereses moratorios”. Entiende, en definitiva, la demandante de amparo que “la ejecución de la resolución recurrida en amparo puede provocar perjuicios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30 de septiembre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recurso puede dar ocasión al Tribunal para aclarar o cambiar su doctrina, como consecuencia de cambios normativos relevantes para la configuración del contenido del derecho fundamental [STC 155/2009, FJ 2 b)] y porque el órgano judicial pudiera haber incurrido en una negativa manifiesta del deber de acatamiento de la doctrina de este Tribual [STC 155/2009,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obrando ya en esta Sala testimonio de las actuaciones jurisdiccionales, diríjase atenta comunicación al Juzgado de Primera Instancia e Instrucción núm. 4 de San Javier a fin de que, en plazo que no exceda de diez días, proceda emplazar a quienes hubieran sido parte en el procedimiento, excepto la parte recurrente en amparo, para que en el plazo de diez días puedan comparecer, si lo desean,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el 30 de septiembre de 2019,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este Tribunal Constitucional formalizó su escrito de alegaciones en esta pieza el 14 de octubre de 2019, interesando que se adopte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sintéticamente la doctrina general del Tribunal Constitucional sobre el carácter excepcional y la aplicación necesariamente restrictiva de la medida de suspensión de las resolución impugnada en amparo, considera que, “en el presente caso, la petición de suspensión del procedimiento no parece muy fundamentada por la propia recurrente, ya que se limita a la mera petición sin explicitar ninguna razón salvo la mera pérdida de finalidad del recurso en el caso de que llegara a celebrarse la subasta de los bienes inmuebles en conflicto y su adjudicación a un tercero que actuaría de buena fe”. Añade el fiscal que “[a]cordar la suspensión comportaría la drástica medida que supondría la paralización del procedimiento ejecutivo, que por su propia naturaleza goza de las características de celeridad y sumariedad”. Considera por ello “[m]ucho más eficaz para conseguir el efecto protector deseado por la recurrente”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 amparo en su caso, evitando que el hipotético tercero adquirente qued[e] especialmente protegido por su buena fe en la adquisición”. Con cita del ATC 95/2015, de 25 de mayo, estima el fiscal que el propio Tribunal Constitucional ha admitido la posibilidad de adoptar este tipo de tutela cautelar en casos similares, al amparo del art. 56.3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fiscal que “la aplicación al caso de la doctrina reseñada nos debe llevar a considerar que nos encontramos en uno de esos supuestos en que tratándose de una resolución de carácter patrimonial, no obstante puede acabar afectando a derechos futuros de terceros adquirentes de buena fe, por lo que de acuerdo con la doctrina de este Tribunal, sería procedente la anotación preventiva de la demanda, que haría que lo que consta en el registro de la propiedad fuera fiel reflejo de la realidad, evitando situaciones cuya reversibilidad deviniera poco menos que imposible”.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Expirado el plazo concedido, la parte recurrente de amparo no ha formulado alegaciones sobre la suspensión interesada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41-2017 seguido en el Juzgado de Primera Instancia e Instrucción núm. 4 de San Javier.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Aunque la entidad afirma que la finca afectada constituye “la vivienda habitual de mi representado, en la que reside con su familia”, semejante afirmación carece de todo sustento fáctico, ya que la demandante es una persona jurídica, con forma jurídica mercantil de “sociedad limitada”. Nada se dice acerca de la identidad de la supuesta persona que estaría viviendo con su familia en la finca afectada ni de la relación jurídica que ésta mantendría con la entidad, omisión ésta a la que se suma el hecho de que la sociedad demandante no haya efectuado alegaciones en la pieza de suspensión, quedando, pues, sin acreditar la supuesta existencia de un perjuicio adicional a la mera posibilidad de que se produzcan actos de disposición 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circunstancias, no es posible afirmar que la continuación del curso del procedimiento judicial, incluso con un desplazamiento posesorio, provoque por sí solo un perjuicio determinante de la pérdida de la finalidad del presente recurso de amparo. 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41-2017 seguido en el Juzgado de Primera Instancia e Instrucción núm. 4 de San Javier.</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