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diciembre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2535-2019, promovido por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22 de abril de 2019, la procuradora de los tribunales doña Blanca Berriatua Horta, en representación de la entidad Euroinversiones Inmobiliarias Costa Sur, S.L., y bajo la dirección del letrado don Marcelino Gilabert García, interpuso recurso de amparo contra el auto del Juzgado de Primera Instancia e Instrucción núm. 5 de Lorca de 27 de febrero de 2019, por el que se desestima el recurso de reposición interpuesto contra el auto de 21 de septiembre de 2018, por el que se inadmite el escrito de oposición a la ejecución hipotecaria en el procedimiento de ejecución hipotecaria núm. 362-2018.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del procedimiento de ejecución hipotecaria alegando que “la continuación de la ejecución derivada de los pronunciamiento judiciales que han sido objeto de impugnación, con la celebración de subasta y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el 28 de octubre de 2019, acordó, en la primera, entre otros aspectos, la admisión a trámite de la demanda de amparo y la formación de pieza separada para la sustanciación del incidente de suspensión; y, en la segunda, formar la oportuna pieza para la tramitación del incidente sobre suspensión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8 de noviembre de 2019, la entidad demandante presentó alegaciones reiterando su solicitud de suspensión, insistiendo en que con la celebración de la subasta y la eventual adjudicación a terceros o a la entidad ejecutante el recurso de amparo perdería su finalidad y le provocaría perjuicios patrimoniales de imposible o difícil reparación. También pone de manifiesto que la posible adjudicación del bien inmueble a terceros de buena fe conllevaría a situaciones irreversibles.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15 de noviembre de 2019, presentó alegaciones interesando que se deniegue la suspensión, pero que se acuerde la anotación preventiva de la demanda de amparo, argumentando que la petición de suspensión del procedimiento ejecutivo no parece muy fundamentada y que el efecto protector deseado por la entidad demandante frente a la posible adjudicación a un tercero de buena fe del bien subastado se obtendría de manera mucho más eficaz mediante la anotación preventiva de la demanda de amparo en el registro de la propiedad.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de la recurrente en amparo y dirigida frente al procedimiento de ejecución hipotecaria núm. 362-2018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 así como en el ATC 85/2019, de 15 de julio, a propósito de otro procedimiento hipotecario seguido ante el Juzgado núm. 3 de Lorca, donde se plantearon los mismos argumentos que aquí para solicitar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de la Ley Orgánica del Tribunal Constitucional,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362-2018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