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3893-2012, promovido por don Abdelilah El Fadual El Akil, contra los siguientes actos de los poderes públicos: (i) la resolución del Ministerio de Justicia, de 28 de junio de 2010, que desestimó la solicitud de indemnización por responsabilidad patrimonial de la administración pública, por el tiempo pasado en prisión preventiva en causa judicial de la que resultó finalmente absuelto; y (ii) la sentencia de la Sección Tercera de la Sala de lo Contencioso-Administrativo de la Audiencia Nacional, de 10 de mayo de 2012, que desestimó el recurso contencioso-administrativo interpuesto contra la resolución anterior. Ha actuado como parte el abogado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junio de 2012, la procuradora de los tribunales doña María Dolores Tejero García-Tejero, actuando en nombre y representación de don Abdelilah El Fadual El Akil, bajo la defensa del letrado don José Luis Laso D’Lom,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las actuaciones seguidas por el Juzgado Central de Instrucción núm. 6, se acordó la detención del recurrente el 1 de abril de 2004 y su posterior puesta en prisión provisional, permaneciendo privado de libertad por un periodo de 1566 días. Tras ser condenado por sentencia de la Sección Segunda de la Sala de lo Penal de la Audiencia Nacional, de 31 de octubre de 2007 (procedimiento núm. 5-2005), por la comisión del delito de colaboración con organización terrorista del que se le acusaba, resultó posteriormente absuelto por sentencia dictada por la Sala Segunda del Tribunal Supremo el 17 de julio de 2008 (recurso de casación 10012-2009), en aplicación del principio in dubio pro reo, acordándose su excarcelación. En concreto, esta última sentencia señaló, en su fundamento de Derecho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aceptando que los elementos del tipo objetivo están acreditados, es decir, el acto del traslado del vehículo y su relevancia como ayuda a la organización a alejar del lugar el vehículo utilizado en el trasporte de explosivos, y si bien el conocimiento que el recurrente tenía de la persona de Felipe probablemente le permitía conocer sus ideas radicales e incluso su determinación a la ejecución de actos violentos, no hay nada en los hechos declarados probados por el Tribunal que permita concluir que también sabía, o tenía que saber, que [un coacusado] había formado un grupo con esas ideas y determinación; que habían iniciado su paso a la acción, y que el vehículo referido había sido utilizado de alguna forma en tal preparación delictiva, de tal forma que por esa o por cualquier otra razón ello significara una colaboración al funcionamiento de la organización. […] Tampoco hay ningún dato que permita establecer que el recurrente conocía el motivo del traslado del vehículo. […] Finalmente, la actuación posterior del recurrente tampoco encaja con un posible conocimiento de la finalidad de su acción […]. En cualquiera de los casos, tal forma de actuar no revela ninguna voluntad de ocultación del vehículo, lo que en unión de lo antes expuesto impide afirmar la concurrencia de los elementos del tipo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 de junio de 2009, el recurrente en amparo presentó una solicitud ante el Ministerio de Justicia, solicitando la cantidad de cuatrocientos cuarenta y un mil ciento diez euros, con ochenta y dos céntimos (441.110,82 €) en concepto de indemnización por responsabilidad patrimonial del Estado, por el tiempo sufrido en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expediente (núm. 270-2009) fue resuelto por resolución del secretario de Estado de Justicia, de fecha 28 de junio de 2010, desestimando lo solicitado. Como apoyo de la decisión, se citó el art. 294 de la Ley Orgánica del Poder Judicial (LOPJ) y la jurisprudencia de la Sala Tercera del Tribunal Supremo que lo interpreta (con mención de la STS de 15 de mayo, 25 de mayo, y 6 de octubre de 2006), conforme a la cual sólo procede indemnizar en los supuestos de absolución por inexistencia objetiva del hecho o por resultar probada la falta de participación del acusado en los hechos delictivos (inexistencia subjetiva), pero no si la absolución deriva de la aplicación del principio in dubio pro reo. Que es lo sucedido en este caso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deduce del fundamento jurídico 56, apartado tercero, de la sentencia absolutoria”, considerando además nulas dicha sentencia, en el fundamento jurídico 54, las “escuchas telefónicas que constituían una de las pruebas sobre la que fundar la condena, si bien ello no implica que se haya probado la inexistencia del hecho ni la falta de participación del reclamante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administrativa mencionada, se interpuso recurso contencioso-administrativo ante la Sala de lo Contencioso-Administrativo de la Audiencia Nacional, recayendo el asunto en su Sección Tercera (recurso ordinario núm. 483-2010). Tras la tramitación del procedimiento, esta última dictó sentencia con fecha 10 de mayo de 2012,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su decisión, la Sala siguió el criterio sentado por la jurisprudencia de la Sala Tercera del Tribunal Supremo a partir de dos sentencias dictadas el 23 de noviembre de 2010, modificando el Alto Tribunal su criterio precedente, al apreciar a partir de entonces que solo cabe indemnización por el tiempo pasado en prisión preventiva, ex del art. 294 LOPJ, en los casos de absolución o sobreseimiento por inexistencia objetiva del hecho, no en los demás casos. Por tanto, se deniega en dicho recurso, teniendo en cuenta en su fundamento de Derecho quinto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[penal] referida absolvió al recurrente por inexistencia de pruebas de cargo suficientes para enervar la presunción de inocencia, lo que es diferente a afirmar que quedó probada su no participación en el hecho delictivo. De este modo, no concurren los requisitos exigidos por la jurisprudencia para apreciar una responsabilidad patrimonial por funcionamiento anormal de la administración de justicia, al no haber quedado probada la falta de participación del recurrente en los hechos delictivos. No se trata, por tanto, del supuesto de inexistencia objetiva ni subjetiva, tal y como ha sido definida por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por las dos resoluciones impugnadas, de los derechos fundamentales a la libertad individual (art. 17.1 CE), y a la presunción de inocencia (art. 24.2 CE); este último puesto en relación, por la vía interpretativa del art. 10.2 CE, con el art. 6.2 del Convenio europeo de derechos humanos de 1950 (CEDH). Señala que las resoluciones recurridas, al aplicar el art. 294 LOPJ, han dado lugar a una tercera categoría entre la inocencia y la culpabilidad, no en el plano penal pero sí administrativo, puesto que deniega la indemnización solicitada en función de la causa de absolución. El recurrente es inocente, ha sufrido prisión y debe ser resarcido. Se invocan como inobservadas las SSTEDH de 13 de enero de 2005, asunto Capeau contra Bélgica, y 13 de julio de 2010, asunto Tendam contra España, de las que reproduce algunos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el suplico solicita se dicte sentencia que otorgue el amparo por la vulneración de los derechos fundamentales que invoca, y se acuerde la nulidad de la resolución de 28 de junio de 2010 del Ministerio de Justicia y de la sentencia de la Sección Tercera de la Sala de lo Contencioso-Administrativo de la Audiencia Nacional. Como consecuencia de dicha nulidad, se pide también “retrotraer las actuaciones hasta el momento inmediatamente anterior a la resolución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Sección Cuarta, Sala Segunda, de este Tribunal, de 4 de julio de 2012, se acordó requerir a la representante procesal del recurrente para que acreditara la fecha fehaciente de notificación de la resolución recurrida, y copia del poder acreditativo de su representación. El primer punto se tuvo por cumplimentado por escrito de dicha profesional, registrado el 24 de julio de 2012, mientras que la representación se otorgó apud acta en la propia secretaría de justicia de la Sala Segunda de este Tribunal, conforme a acta de la misma fecha —24 de julio de 2012— que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23 de mayo de 2013, por la que acordó admitir a trámite el recurso. En la misma resolución se acordó igualmente dirigir atenta comunicación a la Sección Tercera de la Sala de lo Contencioso-Administrativo de la Audiencia Nacional, a fin de que procediera a emplazar en el plazo de diez días a quienes hubieran sido partes en el procedimiento ordinario núm. 483-2010, excepto a la parte recurrente en amparo —ya personada—,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del Estado presentó escrito el 10 de junio de 2013, por el que se personó en el recurso, solicitando se le tuviera por personada y parte en la representación que ostenta, debiendo entenderse con ella los posteriores trámites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accedió por diligencia de ordenación de la secretaría de justicia de la Sala Segunda de este Tribunal, de fecha 4 de julio de 2013, acordando además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 de septiembre de 2013, consignó sus alegaciones el abogado del Estado por el que interesó se dictase sentencia inadmitiendo y, subsidiariamente, desestimando la demanda de amparo. En cuanto al primer pedimento, alegó como óbice la falta de agotamiento de la vía judicial previa [art. 44.1 a) LOTC], dado que al deducirse recurso de amparo “directamente” contra la sentencia de la Audiencia Nacional, el recurrente debió promover antes contra ella un incidente de nulidad de actuaciones, lo que no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fondo, rechaza el mismo escrito de alegaciones que se hayan vulnerado los derechos del recurrente, toda vez, en primer lugar, a que no existe un derecho susceptible de amparo para obtener una reparación económica en caso de haber sufrido prisión provisional. Así también lo ha precisado el Tribunal Europeo de Derechos Humanos  al descartar que se conculque el art. 6.2 CEDH por no preverlo un Estado miembro. Cita en concreto las sentencias de 25 de abril de 2006, asunto Puig Panella contra España; 25 de agosto de 1987, asunto Englert contra Alemania, y la “sentencia de 23 de mayo de 2000 del Tribunal Europeo de Derechos Humanos asunto Narciso Linares”; refiriéndose esta última, en realidad, a la decisión de la Sección Cuarta del Tribunal Europeo de Derechos Humanos, de 23 de marzo de 2000, adoptada en el asunto Dinares Peñalver contra España. También cita el ATC 145/1998, de 22 de junio, del recurrente Sr. Puig Panella.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niega en concreto el abogado del Estado la lesión del derecho a la presunción de inocencia y, refiriéndose de nuevo a la jurisprudencia del Tribunal Europeo de Derechos Humanos, precisa que esta no es contraria a la regulación específica del supuesto de inexistencia del hecho imputado como única causa de indemnización por prisión provisional seguida de absolución, sino al lenguaje de la motivación empleada para desestimar la solicitud. De nuevo cita la decisión Dinares Peñalver contra España y la STEDH del asunto Tendam contra España, de las que extrae que el tribunal europeo lo que censura es que la motivación se base en un lenguaje susceptible de extender una sospecha de culpabilidad sobre el reclamante de turno, lo que sucedía en los asuntos Puig Panella y Tendam, pero no aquí. Añade que para cumplir con los criterios del Tribunal Europeo de Derechos Humanos, la Sala Tercera del Tribunal Supremo tuvo que cambiar su jurisprudencia, excluyendo su anterior interpretación extensiva del art. 294.1 LOPJ. Ya en relación con la sentencia de la Audiencia Nacional impugnada, sostiene que esta no adolece de un lenguaje que afecte a la culpabilidad del recurrente, limitándose a aplicar el supuesto de hecho legal (que, recuerda, no es considerado contrario al Convenio europeo de derechos humanos), al no existir hecho atípico o hecho no real, pero sin entrar a valorar la absolución por falta de pruebas o no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rechaza se haya producido la lesión del derecho a la libertad, para lo cual hace cita del ATC 148/1998 (rectius, ATC 145/1998), que entiende “claro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jefe ante este Tribunal presentó el 24 de septiembre de 2013 sus alegaciones por escrito, interesando que dictáramos sentencia “por la que se desestime por completo el recurso de amparo entablado”. Tras compendiar los antecedentes de hecho relevantes, y resumir la demanda interpuesta, se refiere en cuanto al fondo, en primer lugar, a la queja de lesión del art. 17 CE, la cual rechaza ante todo porque “su invocación se realiza de manera genérica y sin un mínimo desarrollo argumental, de modo que, tal y como se ha articulado la demanda, carece de alegación, soporte, argumentación y tratamiento específico”. Sostiene en todo caso que una queja similar fue desestimada por el ATC 45/1998, de 22 de junio, y recuerda que, conforme a doctrina reiterada de este Tribunal, el derecho reconocido en el art. 121 CE y desarrollado por los arts. 292 y siguientes LOPJ, no tiene el carácter de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en segundo y último lugar, a la denuncia de vulneración del derecho a la presunción de inocencia (art. 24.2 CE), el escrito de alegaciones, luego de hacer un examen detallado de la doctrina de este Tribunal y de la jurisprudencia del Tribunal Europeo de Derechos Humanos en relación con el art. 62. CEDH, afirma lo siguiente: “En definitiva, al fiscal, atendido lo hasta ahora expuesto, por un lado, se le plantean dudas sobre si la presunción de inocencia —tal y como la entiende el Tribunal Europeo de Derechos Humanos— puede entenderse vulnerada o no por una resolución judicial, como la presente, que dice adscribirse a un criterio jurisprudencial nuevo del Tribunal Supremo que no distingue entre absolución por probada falta de participación y por falta de prueba de cargo suficiente o in dubio pro reo, pues a ambos los remite al ámbito aplicativo del art. 293 LOPJ; y que de hecho acaba finalmente afirmando que quedan fuera del art. 294 los casos de ‘inexistencia subjetiva’, por mor del tenor y alcance literal del precepto y la voluntad del legislador que solo se refiere a los casos de ‘inexistencia objetiva del hecho imputado’, lo que supone no atender al grado de vinculación del reclamante con los hechos sino exclusivamente a la inexistencia objetiva material y/o a la atipicidad de éstos. Y, por otro, se le suscita la hipótesis de si un seguimiento radical y sin fisuras de la doctrina de las SSTEDH, dados los concretos términos en que se ha conducido el fundamento de Derecho V de la sentencia aquí impugnada, debería llevar a la apreciación de la vulneración por el simple modo y expresiones de lenguaje empleado en la medida en que puede reflejar dudas sobre la inocencia, por más que la motivación y las consecuencias resulten salvables.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tesitura y dado que lo procedente es la definición de una postura, el fiscal se inclina, no sin matizaciones y ciertas reservas, por entender que procede desestimar el motivo, por las aludidas razones de que “la resolución judicial no colisiona frontal e indubitadamente con la doctrina judicial paneuropea en la medida en que, según su ratio decidendi, no exigió prueba de no participación para tener acceso a la indemnización (tampoco lo habría tenido si la hubiera aportado, dicho sea de paso porque su denegación se produjo por el nuevo criterio jurisprudencial del Tribunal Supremo); y en que, en el fondo, finalmente no asigna consecuencias distintas a haber sido absuelto por in dubio pro reo o falta de prueba de cargo suficiente respecto de una absolución por probada falta de participación en el hecho, dado que ambas categorías de supuestos quedan sometidas al mismo régimen: exclusión del art. 294 LOPJ (y remisión al art. 293 LOPJ en el criterio jurisprudencial nuevo). Siendo esta la verdadera motivación, se entiende que el juicio de reproche constitucional sobre la resolución judicial puede ser más benigno en la medida que el lenguaje no tuvo consecuencias reales de cara a la solución del caso y no actualizó una vulneración palpable y concreta, ni puede asegurarse en el presente caso que sin lugar a dudas trasluce o refleja realmente un sentimiento judicial de culpabilidad sino que más bien puede valorarse como un vestigio de un modo de razonamiento que específicamente rechaza en el fondo el tenor de la propia resolución judicial atendido el criterio jurisprudencial al que decididamente se abona”.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Sin haberse presentado alegaciones por el recurrente, se dictó diligencia de constancia el 2 de octubre de 2013, quedando el asunto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sendos escritos presentados el 18 de mayo de 2018 y 7 de junio de 2019, la representante procesal del recurrente solicitó el impulso procesal con el fin de que el Tribunal resolviera el recurso presentado. Por diligencias de ordenación de la Sala Segunda de este Tribunal, de 21 de mayo de 2018, y 10 de junio de 2019, respectivamente, se acordó unir dichos escritos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la Sección Tercera de la Sala de lo Contencioso-Administrativo de la Audiencia Nacional, de 10 de mayo de 2012, desestimatoria del recurso contencioso-administrativo núm. 483-2010 interpuesto contra la resolución del secretario de Estado de Justicia de 28 de junio de 2010, recaída en el expediente núm. 270-2009, que había rechazado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su fundamento jurídico 3 se rechazó el mismo óbice de admisibilidad planteado aquí por el abogado del Estado. Como entonces desarrollamos, el objeto de la demanda de amparo abarca la resolución administrativa que deniega la indemnización y la resolución judicial que confirma tal denegación, sin que su contenido impugnatorio se proyecte solo a lesiones imputables en exclusiva a la sentencia de la Audiencia Nacional, de modo que no puede reprocharse un déficit de agotamiento conforme al art. 43.1 de la Ley Orgánica del Tribunal Constitucional ni, en general, una impugnación per saltum contraria 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de la STC 125/2019, ya en cuanto al fondo, se determinaron los efectos sobre el recurso de amparo de la declaración de inconstitucionalidad de los incisos “por inexistencia del hecho imputado” y “por esta misma causa” del art. 294.1 de la Ley Orgánica del Poder Judicial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28 de junio de 2010,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Abdelilah El Fadual El Akil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de 10 de mayo de 2012, de la Sección Tercera de Sala de lo Contencioso-Administrativo de la Audiencia Nacional, dictada en el recurso contencioso-administrativo núm. 483-2010, y de la resolución del secretario de Estado de Justicia de 28 de junio de 2010, recaída en el expediente núm. 270-2009.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