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4795-2017, promovido por don Alfredo Ballesteros Ainsa,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noviembre de 2018, la procuradora de los tribunales doña Patricia Gómez Martínez, en nombre y representación de don Alfredo Ballesteros Ainsa, y bajo la dirección del letrado don Julio de Santa Ana Campillo, interpuso recurso de amparo contra el auto del Juzgado de Primera Instancia núm. 14 de Sevilla de 27 de julio de 2017, por el que se inadmite el incidente de nulidad de actuaciones interpuesto contra el auto de 1 de junio de 2017, por el que se acuerda mantener la resolución de la Comisión de Asistencia Jurídica Gratuita denegando el reconocimiento del derecho a la asistencia jurídica gratuita en el procedimiento de impugnación 189-2017.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del auto judicial impugnado “a fin de impedir la efectividad de la pretensión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25 de noviembre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19 de diciembre de 2019, presentó alegaciones interesando que se deniegue la suspensión, ya que el demandante no solo no aporta un principio razonable de prueba del presunto perjuicio irreparable sino que solicita la suspensión sin explicitar ninguna razón de los eventuales perjuicios que le produciría la no suspensión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10 de diciembre de 2019, presentó alegaciones reiterando su solicitud de suspensión, insistiendo en la irreparabilidad de los derechos fundamentales afectados pues “se sigue perpetuando la injusticia manifestada objeto del amparo”, que el amparo perdería así su finalidad y que la suspensión no va a producir perturbaciones graves.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consistente en que se suspenda la ejecución de una decisión judicial por la que se confirma la denegación del derecho de asistencia jurídica gratuita fundamentada en la insostenibilidad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(así,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no suspensión de la decisión judicial de confirmar la denegación del derecho a la asistencia jurídica gratuita por insostenibilidad de la pretensión le causaría un perjuicio irreparable al seguirse perpetuando la lesión del derecho fundamental invocado, pero, sin añadir ninguna otra consideración sobre la eventual afectación a cualquier otro interés personal que pudiera estar ventilándose en el procedimiento judicial subyacente. En tales circunstancias, no es posible afirmar que el mantenimiento de la situación de denegación del derecho de asistencia gratuita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suspensión de la decisión judicial impugnada implicaría el reconocimiento del derecho a la asistencia jurídica gratuita, lo que, por su propia naturaleza, supondría no solo un otorgamiento anticipado del recurso de amparo, contrario a reiterada jurisprudencia constitucional (ATC 55/2019, de 3 de junio, FJ 2); sino desconocer elementales exigencias de subsidiariedad ya que, en atención a las vulneraciones alegadas, que quedan limitadas a garantías procedimentales en el proceso de reconocimiento de este derecho a la asistencia jurídica gratuita, pero no a sus requisitos sustantivos, incluso una eventual estimación del amparo tendría como único efecto, tal como ha solicitado el demandante, la retroacción de las actuaciones para un nuevo pronunciamiento sobre el reconocimiento de ese derecho, pero no el reconocimiento directo del derecho a la asistencia jurídica gratuita, que es lo que se pretende obtener en esta pieza de suspensión por parte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