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1594-2019,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marzo de 2019, la procuradora de los tribunales doña Blanca Berriatua Horta, en nombre y representación de la entidad Euroinversiones Inmobiliarias Costa Sur, S.L., y bajo la dirección del letrado don Marcelino Gilabert García, interpuso recurso de amparo contra el auto del Juzgado de Primera Instancia e Instrucción núm. 6 de Lorca de 22 de enero de 2019, por el que se desestima el recurso de reposición interpuesto contra el auto de 19 de septiembre de 2019, por el que se inadmite el escrito de oposición a la ejecución hipotecaria en el procedimiento de ejecución hipotecaria núm. 65-2018.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pronunciamientos judiciales que han sido objeto de impugnación,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16 de diciembre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9 de enero de 2020, presentó alegaciones interesando que se deniegue la suspensión pero que se acuerde la anotación preventiva de la demanda de amparo, argumentando que la petición no aparece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por escrito registrado el 30 de diciembre de 2019, presentó alegaciones reiterando su solicitud de suspensión, insistiendo en que con la celebración de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conllevaría a situaciones irreversibles.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65-2018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(así,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2/2019, de 9 de enero, FJ 4, y 85/2019, de 15 de julio, a propósito de otros procedimientos hipotecarios,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65-2018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