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27 de enero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Antonio Narváez Rodríguez y don Ricardo Enríquez Sancho, en el recurso de amparo núm. 3099-2019, promovido por Euroinversiones Inmobiliarias Costa Sur,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16 de mayo de 2019, tuvo entrada en el registro general de este Tribunal Constitucional un escrito de la procuradora doña Blanca Berriatua Horta, en representación de la entidad Euroinversiones Inmobiliarias Costa Sur, S.L., por el que interpuso recurso de amparo contra el auto de 17 de septiembre de 2018 del Juzgado de Primera Instancia e Instrucción núm. 6 de Lorca, que inadmitió el escrito de oposición a la ejecución hipotecaria promovida por Banco de Sabadell, S.A.; y contra el auto del mismo juzgado, de 8 de abril de 2019, que desestimó el recurso de reposición interpuesto contra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17 de septiembre de 2018, el Juzgado de Primera Instancia e Instrucción núm. 6 de Lorca dictó un auto en el procedimiento de ejecución hipotecaria núm. 70-2018 por el que acordó: “Inadmitir a trámite la oposición formulada por la parte ejecutada Euroinversiones Inmobiliarias Costa Sur, S.L., y Penrei Inversiones, S.L., […] por presentación fuera de plazo, contra Banco Sabadell, S.A.”, advirtiendo en pie de recurso que contra dicha resolución cabía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basó su decisión, conforme a su fundamento de Derecho único, en lo siguiente: “Se establece en el artículo 134 de la Ley de enjuiciamiento civil: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y previniéndose en el artículo 695 LEC, que el escrito de oposición a la ejecución deberá ser presentado en el plazo de los diez días siguientes a la notificación del auto y del decreto y constando en el presente supuesto que la parte ejecutada se ha opuesto pasado que ha sido el plazo que legalmente se le otorga, debe ser inadmitida su oposición por extemporánea, de conformidad con lo establecido en los preceptos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Formalizado contra dicho auto recurso de reposición por la entidad aquí demandante de amparo, el juzgado a quo dictó auto el 8 de abril de 2019 desestimándolo, con confirmación de la resolución recurrida, en virtud de los motivos expresados en su razonamiento jurídico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consta que la notificación se puso a disposición de las recurrentes en fecha 21 de junio de 2018, no accediéndose al contenido hasta el día 2 de agosto de 2018 respecto de Euroinversiones y el 27 de julio de 2018 respecto de Penrei (fuera de los tres días que establece la normativa procesal), presentando los escritos de oposición a la ejecución en fecha 29 de agosto de 2018, claramente fuera del plazo legalmente establecido en el art. 556. 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traía el siguiente pie de recurso: “Notifíquese esta resolución a las partes personadas, haciéndoles [sic] que es firme, y contra la misma no cabe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causan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tratándose de su primer emplazamiento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reconoce que si bien la recurrente, por ser una persona jurídica, viene por ello obligada a relacionarse con la administración de justicia a través de medios electrónicos, no obstante cuando es el primer emplazamiento y por tanto todavía aquella “no ha tenido ninguna relación con el juzgado correspondiente en este especial y concreto procedimiento”, ha de practicarse mediante cédula con entrega en papel de la documentación correspondiente, conforme establece el art. 273 LEC, en relación con los arts. 135, 152, 162 y 155 de la misma LEC. Este último,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Añade que incluso la notificación realizada tampoco cumple con las formalidades de las comunicaciones electrónicas. Pese a todo esto, el auto dictado por el juzgado el 17 de septiembre de 2018 declaró extemporánea la presentación del escrito de oposición, computando el plazo de diez días desde la fecha de envío de aquel correo a través de la dirección electrónica habilitada.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auto del 8 de abril siguiente que desestimó la reposición, se rechaza por la recurrente que haya fundamentado su decisión en la ley de procedimiento administrativo común, “que consideramos inaplicable al ámbito procesal civil, puesto que además de existir normas concretas al respecto, no se dan en uno y otro ámbito las mismas garantías procedimentales”; siendo que en materia de notificación de actos procesales existe su propia normativa tanto en la Ley de enjuiciamiento civil —los artículos arriba citados—, como en el haz de garantías del propio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solicita que este Tribunal Constitucional, con estimación del amparo, acuerde la nulidad de ambas resoluciones judiciales y ordene reponer las actuaciones al momento previo al dictado de la primera de aquellas, a fin de que el juzgado a quo admita a trámite la “demanda de oposición al despacho de ejecución formulada por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 de los pronunciamientos judiciales que han sido objeto de impugnación, con la celebración de subasta y la eventual adjudicación a terceros, pueden hacer perder al recurso de amparo su finalidad, por lo que solicito la suspensión de la continuación del procedimiento de ejecución hipotecaria 70-2018 seguido ante el Juzgado de Primera Instancia e Instrucción núm. 6 de Lorca, hasta tanto sea resuelto el presente recurso de amparo, poniéndolo en conocimiento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Sección Cuarta, de este Tribunal Constitucional, dictó providencia el 25 de noviembre de 2019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porque el recurso plantea un problema o afecta a una faceta de un derecho fundamental sobre el que no hay doctrina de este Tribunal [STC 155/2009, FJ 2 a)], y porque puede dar ocasión al Tribunal para aclarar o cambiar su doctrina, como consecuencia de cambios normativos relevantes para la configuración del contenido del derecho fundamental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obrando ya testimonio de las correspondientes actuaciones, diríjase igualmente atenta comunicación al Juzgado de Primera Instancia e Instrucción núm. 6 de Lorca, a fin de que, en plazo que no exceda de diez días, se proceda a emplazar a quienes hubieran sido parte en el procedimiento, excepto la parte recurrente en amparo, para que en el plazo de diez días puedan comparecer, si lo desean,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dictada por la Sección Cuarta de este Tribunal en la misma fecha de la admisión del recurso, el 25 de noviembre de 2019,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entidad recurrente presentó su escrito de alegaciones con fecha 3 de diciembre de 2019, interesando se acceda a lo solicitado en cuanto a la suspensión del procedimiento de ejecución hipotecaria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alega que la continuación de tal procedimiento, “con la celebración de subasta y la eventual adjudicación a terceros harían perder al recurso de amparo su finalidad y provocarían perjuicios patrimoniales para mi representada de imposible o difícil reparación”. Invoca a su favor lo resuelto por este Tribunal en su ATC 287/2013, de 16 de diciembre, reiterando a renglón seguido las vulneraciones constitucionales de fondo que aduce en su demanda, e indicando que de celebrarse la subasta y la posible adjudicación del bien inmueble a terceros de buena fe, con “desposesión del bien ejecutado, conllevaría a situaciones irreversibles, con un inevitable perjuicio para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fiscal ante este Tribunal Constitucional formalizó su escrito de alegaciones en esta pieza el 11 de diciembre de 2019, interesando que se adopte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cita del art. 56.2 de la Ley Orgánica del Tribunal Constitucional (LOTC) y reproducir lo declarado en el ATC 127/2015, de 20 de julio, FJ 1, en relación con la necesidad de acreditar por el interesado la existencia de un perjuicio irreparable, para poder acordarse la suspensión de los actos impugnados en amparo, sostiene el fiscal que en el presente caso, “para conseguir el efecto protector deseado por la recurrente y enervar los indeseados efectos de la paralización del procedimiento que por su propia naturaleza goza de las características de celeridad y sumariedad, se puede acordar la anotación preventiva de la demanda de amparo en el registro de la propiedad, ya que de esta manera se daría publicidad frente a terceros de la pendencia del recurso, lo que conlleva el conocimiento de los efectos que sobre la titularidad de la vivienda puede tener el otorgamiento del amparo en su caso, evitando que el hipotético adquirente queda especialmente protegido por su buena fe en la adquisición”. Cita en apoyo de su petición el art. 56.3 LOTC, que permite al Tribunal adoptar toda medida que evite que el recurso de amparo pueda perder su finalidad, así como el ATC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 finalmente en que es procedente la medida de anotación preventiva, pues “de no adoptarse la medida de anotación preventiva de la demanda, la tutela que pudiera otorgarse por este tribunal no sería completa si se deja abierta la posibilidad de que la finca sea transmitida a un tercero de buena fe mientras se sustancia y resuelve el presente proceso de amparo, por lo que se interesa la anotación preventiva de la demanda en el registro de la propiedad evitando, así, situaciones cuya reversibilidad sería […]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70-2018 seguido en el Juzgado de Primera Instancia e Instrucción núm. 6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70-2018 seguido en el Juzgado de Primera Instancia e Instrucción núm. 6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