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27 de enero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Antonio Narváez Rodríguez y don Ricardo Enríquez Sancho, en el recurso de amparo núm. 3541-2019, promovido por Penrei Inversiones,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6 de junio de 2019, tuvo entrada en el registro general de este Tribunal Constitucional un escrito de la procuradora doña Blanca Berriatua Horta, en representación de la entidad Penrei Inversiones, S.L., por el que interpuso recurso de amparo contra el auto de 21 de septiembre de 2018 del Juzgado de Primera Instancia e Instrucción núm. 5 de Lorca, que inadmitió el escrito de oposición a la ejecución hipotecaria promovida por Banco de Sabadell, S.A.; y contra el auto del mismo juzgado, de 23 de abril de 2019, que desestimó el recurso de reposición interpuesto contra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21de septiembre de 2018, el Juzgado de Primera Instancia e Instrucción núm. 5 de Lorca dictó un auto en el procedimiento de ejecución hipotecaria núm. 382-2018 por el que acordó: “Inadmitir a trámite la oposición formulada por la parte ejecutada Penrei Inversiones, S.L., y Euroinversiones Inmobiliarias Costa Sur, S.L., […] por estar presentada fuera de plazo, contra Banco Sabadell, S.A.”, advirtiendo en pie de recurso que contra dicha resolución cabía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basó su decisión, conforme a su fundamento de Derecho único, en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establece en el artículo 134 de la Ley de enjuiciamiento civil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Establece el artículo 695 LEC, que la parte ejecutada puede oponerse al despacho de ejecución en los términos de dicho artículo y en el plazo de diez días a contar desde el siguiente a la notificación del auto y del decreto. Constando en el presente supuesto que la parte ejecutada se ha opuesto una vez transcurrido el plazo que legalmente se le otorga, debe ser inadmitida su oposición por extemporánea, de conformidad con lo establecido en los preceptos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Formalizado contra dicho auto recurso de reposición por la entidad aquí demandante de amparo, el juzgado a quo dictó auto el 23 de abril de 2019 desestimándolo, con confirmación de la resolución recurrida, en virtud de los motivos expresados en su razonamiento jurídico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consta que la notificación se puso a disposición de las recurrentes en fecha 13 de junio de 2018 no accediendo al contenido hasta el día 24 de julio de 2018 (fuera de los tres días que establece la normativa procesal), presentando los escritos de oposición a la ejecución en fecha 31 de julio de 2018 claramente fuera del plazo legalmente establecido en el art. 556. 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traía el siguiente pie de recurso: “Notifíquese esta resolución a las partes personadas, haciéndoles [sic] que es firme, y contra la misma no cabe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causan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tratándose de su primer emplazamiento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reconoce que si bien la recurrente, por ser una persona jurídica, viene por ello obligada a relacionarse con la administración de justicia a través de medios electrónicos, no obstante cuando es el primer emplazamiento y por tanto todavía aquélla “no ha tenido ninguna relación con el Juzgado correspondiente en este especial y concreto procedimiento”, ha de practicarse mediante cédula con entrega en papel de la documentación correspondiente, conforme establece el art. 273 LEC, en relación con los arts. 135, 152, 162 y 155 de la misma LEC. Este último, precisa, “es categórico al respecto ya que en su punto primero nos indica que cuando las partes no actúen representadas por procurador o se trate del primer emplazamiento o citación al demandado, los actos de comunicación se harán por remisión al domicilio de los litigantes”. Añade que incluso la notificación realizada tampoco cumple con las formalidades de las comunicaciones electrónicas. Pese a todo esto, el auto dictado por el juzgado el 21 de septiembre de 2018 declaró extemporánea la presentación del escrito de oposición, computando el plazo desde la fecha de envío de aquel correo a través de la dirección electrónica habilitada.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auto del 23 de abril siguiente que desestimó la reposición, se rechaza por la recurrente que haya fundamentado su decisión en la ley de procedimiento administrativo común, “que consideramos inaplicable al ámbito procesal civil, puesto que además de existir normas concretas al respecto, no se dan en uno y otro ámbito las mismas garantías procedimentales”; siendo que en materia de notificación de actos procesales existe su propia normativa tanto en la Ley de enjuiciamiento civil —los artículos arriba citados—, como en el haz de garantías del propio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solicita que el Tribunal Constitucional, con estimación del amparo, acuerde la nulidad de ambas resoluciones judiciales y ordene reponer las actuaciones al momento previo al dictado de la primera de aquéllas, a fin de que el juzgado a quo admita a trámite la “demanda de oposición al despacho de ejecución formulada por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derivadas [sic] de los pronunciamientos judiciales que han sido objeto de impugnación, con la celebración de subasta y la eventual adjudicación a terceros, pueden hacer perder al recurso de amparo su finalidad, por lo que solicito la suspensión de la continuación del procedimiento de ejecución hipotecaria 382-2018 seguido ante el Juzgado de Primera Instancia e Instrucción núm. 5 de Lorca, hasta tanto sea resuelto el presente recurso de amparo, poniéndolo en conocimiento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Sección Cuarta, de este Tribunal Constitucional, dictó providencia el 25 de noviembre de 2019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porque el recurso plantea un problema o afecta a una faceta de un derecho fundamental sobre el que no hay doctrina de este Tribunal [STC 155/2009, FJ 2 a)], y porque puede dar ocasión al Tribunal para aclarar o cambiar su doctrina, como consecuencia de cambios normativos relevantes para la configuración del contenido del derecho fundamental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obrando ya testimonio de las correspondientes actuaciones, diríjase igualmente atenta comunicación al Juzgado de Primera Instancia e Instrucción número 5 de Lorca, a fin de que, en plazo que no exceda de diez días, se proceda a emplazar a quienes hubieran sido parte en el procedimiento, excepto la parte recurrente en amparo, para que en el plazo de diez días puedan comparecer, si lo desean,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dictada por la Sección Cuarta de este Tribunal en la misma fecha de la admisión del recurso, el 25 de noviembre de 2019,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entidad recurrente presentó su escrito de alegaciones con fecha 3 de diciembre de 2019, interesando se acceda a lo solicitado en cuanto a la suspensión del procedimiento de ejecución hipotecaria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alega que la continuación de tal procedimiento, “con la celebración de subasta y la eventual adjudicación a terceros harían perder al recurso de amparo su finalidad y provocarían perjuicios patrimoniales para mi representada de imposible o difícil reparación”. Invoca a su favor lo resuelto por este Tribunal en su ATC 287/2013, de 16 de diciembre, reiterando a renglón seguido las vulneraciones constitucionales de fondo que aduce en su demanda, e indicando que de celebrarse la subasta y la posible adjudicación del bien inmueble a terceros de buena fe, con “desposesión del bien ejecutado, conllevaría a situaciones irreversibles, con un inevitable perjuicio para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fiscal ante este Tribunal Constitucional formalizó su escrito de alegaciones en esta pieza el 10 de diciembre de 2019, interesando que se adopte únicamente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sintéticamente la doctrina general del Tribunal Constitucional sobre el carácter excepcional y la aplicación necesariamente restrictiva de la medida de suspensión de las resolución impugnada en amparo, considera que “en el presente caso, la petición de suspensión del procedimiento no parece muy fundamentada por la propia recurrente, ya que se limita a la mera petición sin explicitar ninguna razón salvo la mera pérdida de finalidad del recurso en el caso de que llegara a celebrarse la subasta de los bienes inmuebles en conflicto y su adjudicación a un tercero que actuaría de buena fe”. Añade el fiscal que “[a]cordar la suspensión comportaría la drástica medida que supondría la paralización del procedimiento ejecutivo, que por su propia naturaleza goza de las características de celeridad y sumariedad”. Considera por ello “[m]ucho más eficaz para conseguir el efecto protector deseado por la recurrente” acordar “la anotación preventiva de la demanda de amparo en el registro de la propiedad, ya que de esta manera se daría publicidad frente a terceros de la pendencia del recurso, lo que conlleva el conocimiento de los efectos que sobre la titularidad de la vivienda puede tener el otorgamiento de amparo en su caso, evitando que el hipotético tercero adquirente qued[e] especialmente protegido por su buena fe en la adquisición”. Con cita del ATC 95/2015, de 25 de mayo, estima el fiscal que el propio Tribunal Constitucional ha admitido la posibilidad de adoptar este tipo de tutela cautelar en casos similares, al amparo del art. 56.3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fiscal que “la aplicación al caso de la doctrina reseñada nos debe llevar a considerar que nos encontramos en uno de esos supuestos en que tratándose de una resolución de carácter patrimonial, no obstante puede acabar afectando a derechos futuros de terceros adquirentes de buena fe, por lo que de acuerdo con la doctrina de este Tribunal, sería procedente la anotación preventiva de la demanda, que haría que lo que consta en el registro de la propiedad fuera fiel reflejo de la realidad, evitando situaciones cuya reversibilidad deviniera poco menos que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382-2018 seguido en el Juzgado de Primera Instancia e Instrucción núm. 5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382-2018 seguido en el Juzgado de Primera Instancia e Instrucción núm. 5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