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27 de enero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3542-2019, promovido por la entidad Euroinversiones Inmobiliarias Costa Sur, S.L., en autos del Juzgado de Primera Instancia e Instrucción núm. 5 de Lorca,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junio de 2019, la entidad Euroinversiones Inmobiliarias Costa Sur, S.L., representada por la procuradora de los tribunales doña Blanca Berriatua Horta y bajo la dirección del letrado don Marcelino Gilabert García, interpuso recurso de amparo contra los autos de 21 de septiembre de 2018 y 23 de abril de 2019, dictados por el Juzgado de Primera Instancia e Instrucción núm. 5 de Lorca, en el procedimiento de ejecución hipotecaria núm. 293-2018, por los que, respectivamente, se inadmite por extemporánea la demanda de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5 de Lorca se sigue procedimiento de ejecución hipotecaria núm. 293-2018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43.292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9 de mayo de 2018 se acordó despachar ejecución frente las sociedades demandadas por la cantidad de 2.604,39 € de principal y 2.400 € como intereses y costas presupuestados. El citado auto y el decreto de la misma fecha que le sigue fueron comunicados a las citadas sociedades a través de la sede judicial electrónica el día 11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10 de julio de 2018. Por auto de 21 de septiembre de 2018 se acordó su inadmisión por considerar la pretensión extemporánea, tomando como fecha de notificación el 11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11 de mayo de 2018, sino el 26 de junio siguiente, fecha en la que accedió a la web y procedió a su descarga, y que la comunicación remitida a través de la dirección electrónica habilitada no puede entenderse más que un aviso de puesta a disposición o descarga de su contenido durante un plazo determinado (en el caso desde el 11 de mayo hasta el 26 de junio de 2018), pues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23 de abril de 2019. Según esta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373.3 LEC. Según el auto, en el presente caso “consta que la notificación se puso a disposición de las recurrentes en fecha 11 de mayo de 2018, no accediendo al contenido hasta el día 26 de junio de 2018 (fuera de los tres días que establece la normativa procesal), presentando los escritos de oposición a la ejecución en fecha 10 de julio de 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 tal y como reconoce la Sentencia 37/1984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septiembre de 2019 la Sección Primera de este Tribunal acordó admitir a trámite el recurso de amparo y dirigir comunicación al Juzgado de Primera Instancia e Instrucción núm. 5 de Lorca, a fin de que, en plazo que no exceda de diez días, remitiera certificación o fotocopia adverada de las actuaciones correspondientes a los autos de ejecución hipotecaria y emplazara por el mismo plazo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4 de octubre de 2019 la parte demandante formuló sus alegaciones, reiterando lo expuesto en el otrosí de su demanda y trascribiendo como fundamento de su pretensión lo expresado en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17 de octubre de 2019, el ministerio fiscal se opuso a la pretendida suspensión del procedimiento de ejecución hipotecaria, e interesó que, alternativamente, se acuerde la anotación preventiva de la demanda de amparo en el registro de la propiedad, aunque esta última medida no haya sido solicitada en el recurso. Tras exponer la doctrina de este Tribunal sobre suspensión de resoluciones y actos impugnados, aduce que en el presente caso el demandante no explicita razón alguna que permita afirmar que la continuación del procedimiento judicial, incluso con desplazamiento posesorio, provoque un perjuicio determinante de la pérdida de finalidad del recurso de amparo; por lo que resultando más eficaz la anotación preventiva de la demanda en el registro de la propiedad, pues a través de dicha medida cautelar es posible evitar que un hipotético tercer adquirente del inmueble hipotecado, en virtud de su buena fe registral, quede especialmente protegido, perjudicando así los intereses concernidos.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suspensión cautelar instada por la parte recurrente en amparo y dirigida frente al procedimiento de ejecución hipotecaria núm. 293-2018,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solicitado por el ministerio fiscal, que resulta improcedente la suspensión solicitada del procedimiento de ejecución hipotecaria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en procesos de amparo precedentes (AATC 81/2019, de 15 de julio; 148/2019, 150/2019, 155/2019 y 156/2019, de 25 de noviembre),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al solicitarse el amparo el procedimiento se encontraba en la fase inicial, una vez rechazada la oposición a la ejecución. En tales circunstancias no es posible afirmar que la continuación del curso del procedimiento judicial, incluso si se produjera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como se anticipó, se reputa medida suficiente e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81/2019, de 15 de julio; 148/2019, 150/2019, 155/2019 y 156/2019, de 25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Denegar la suspensión cautelar solicitada del procedimiento de ejecución hipotecaria núm. 293-2018,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