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24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en el recurso de amparo núm. 1584-2019,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marzo de 2019, la entidad Euroinversiones Inmobiliarias Costa Sur, S.L., representada por la procuradora de los tribunales doña Blanca Berriatua Horta y bajo la dirección del letrado Marcelino Gilabert García, interpuso recurso de amparo contra los autos dictados por el Juzgado de Primera Instancia e Instrucción núm. 6 de Lorca en el procedimiento de ejecución hipotecaria núm. 66-2018 en fechas 19 de septiembre de 2018 y 22 de enero de 2019 por los que, respectivamente, se inadmite por extemporánea la oposición a la ejecución hipotecaria y se confirma esta última decisión al desestimarse el recurso de reposición interpuesto frente a ella. La presentación de dicho escrito dio lugar al recurso de amparo núm. 1584-2019, que fue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12 de marzo de 2019,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6 de Lorca en el procedimiento de ejecución hipotecaria núm. 66-2018 en fechas 19 de septiembre de 2018 y 22 de enero de 2019 por los que, respectivamente, se inadmite por extemporánea la oposición a la ejecución hipotecaria y se confirma esta última decisión al desestimarse el recurso de reposición interpuesto frente a ella. La presentación de dicho escrito dio lugar al recurso de amparo núm. 1586-2019 que fue también admitido a trámite y cuyo conocimiento correspondió a la Sala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que los referidos recursos de amparo quedaron conclusos para sentencia, por diligencia de ordenación de 8 de enero de 2020 se concedió audiencia al ministerio fiscal y a las partes por plazo común de diez días por si procediera su acumulación, de conformidad con el art. 83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escritos registrados el 22 de enero de 2020, manifestó su conformidad a la acumulación. Las partes demandantes de amparo declararon su voluntad de dejar la decisión a criterio del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83 de la Ley Orgánica del Tribunal Constitucional (LOTC) permite a este Tribunal, de oficio o a instancia de parte y previa audiencia de los comparecidos,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y, por otro, que tal conexión sea relevante en relación con su tramitación y decisión unitarias o, lo que es lo mismo, que la referida conexión justifique la unidad de tramitación y decisión (AATC 417/2003, de 15 de diciembre, FJ 2; 5/2013, de 14 de enero, FJ único; 285/2013, de 16 de diciembre, FJ único, y 82/2016, de 25 de abril,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se impugnan las mismas resoluciones judiciales procedentes de un mismo procedimiento de ejecución hipotecaria dirigido contra las entidades mercantiles ahora demandantes de amparo. Además, los recursos de amparo se encuentran en la misma fase procesal tras su admisión a trámite, y la queja, relativa a la vulneración de su derecho a la tutela judicial efectiva sin indefensión (art. 24.1 CE) en su vertiente de acceso al proceso, es común en su fundamento, tanto en los aspectos fácticos como en los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justifica, dada la conexión entre los recursos de amparo registrados con los números 1584-2019 y 1586-2019, la acumulación del recurso de amparo con número de registro más moderno al más antiguo para su resolución conjunta (art. 84.1 de la Ley de enjuiciamiento civil, en relación con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recurso de amparo registrado con el número 1586-2019, al recurso de amparo registrado con el número 1584-2019. Dichos recursos seguirán así una misma tramitación hasta su resolución, también única, por esta Sala,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