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24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la magistrada doña María Luisa Balaguer Callejón, en el recurso de amparo núm. 3538-2019, promovido por la entidad Penrei Inversiones, S.L., en autos del Juzgado de Primera Instancia e Instrucción núm. 5 de Lorca,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junio de 2019, la entidad Penrei Inversiones, S.L., representada por la procuradora de los tribunales doña Blanca Berriatua Horta y bajo la dirección de la letrada doña Anju Nirmala Benavent Rodríguez, interpuso recurso de amparo contra los autos de 21 de septiembre de 2018 y de 23 de abril de 2019, dictados por el Juzgado de Primera Instancia e Instrucción núm. 5 de Lorca, en el procedimiento de ejecución hipotecaria núm. 392-2018, por los que, respectivamente, se inadmite por extemporánea la demanda de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5 de Lorca se sigue procedimiento de ejecución hipotecaria núm. 392-2018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43.242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6 de junio de 2018 se acordó despachar ejecución frente las sociedades demandadas por la cantidad de 2.248,32 € de principal y 2.400 € presupuestados inicialmente para intereses y costas. El citado auto y el decreto de la misma fecha que le sigue fueron comunicados a las citadas sociedades a través de la sede judicial electrónica el día 13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Penrei Inversiones, S.L., presentó escrito de oposición a la ejecución despachada con fecha 31 de julio de 2018. Por auto de 21 de septiembre de 2018 se acordó su inadmisión por considerar la pretensión extemporánea, tomando como fecha de notificación el 13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13 de junio de 2018, sino el 24 de julio siguiente, fecha en la que accedió a la web y procedió a su descarga, y que la comunicación remitida a través de la dirección electrónica habilitada no puede entenderse más que un aviso de puesta a disposición o descarga de su contenido durante un plazo determinado (en el caso desde el 13 de junio hasta el 24 de julio de 2018), pues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23 de abril de 2019. Según esta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273.3 LEC. Según el auto, en el presente caso “consta que la notificación se puso a disposición de las recurrentes en fecha 13 de junio de 2018, no accediendo al contenido hasta el día 24 de julio de 2018 (fuera de los tres días que establece la normativa procesal), presentando los escritos de oposición a la ejecución en fecha 31 de julio de 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 tal y como reconoce la sentencia 37/1984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enero de 2020 la Sección Segunda de este Tribunal acordó admitir a trámite el recurso de amparo y dirigir comunicación al Juzgado de Primera Instancia e Instrucción núm. 5 de Lorca, a fin de que, en plazo que no exceda de diez días emplace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3 de febrero de 2020 la parte demandante formuló sus alegaciones, reiterando lo expuesto en el otrosí de su demanda y trascribiendo como fundamento de su pretensión lo expresado en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11 de febrero de 2020, el ministerio fiscal se opuso a la pretendida suspensión del procedimiento de ejecución hipotecaria, e interesó que, alternativamente, se acuerde la anotación preventiva de la demanda de amparo en el registro de la propiedad, aunque esta última medida no haya sido solicitada en el recurso. Tras exponer la doctrina de este Tribunal sobre suspensión de resoluciones y actos impugnados, aduce que en el presente caso la petición del demandante no parece muy fundada, sostiene que acordar la suspensión comportaría la paralización del procedimiento ejecutivo, que por su propia naturaleza goza de las características de celeridad y sumariedad. Considera mucho más eficaz la anotación preventiva de la demanda en el registro de la propiedad, pues a través de dicha medida cautelar es posible evitar que un hipotético tercer adquirente del inmueble hipotecado, en virtud de su buena fe registral, quede especialmente protegido, perjudicando así los intereses concernidos.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suspensión cautelar instada por la parte recurrente en amparo y dirigida frente al procedimiento de ejecución hipotecaria núm. 392-2018,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59/2017, de 24 de abril, FJ 1, y 177/2019, de 16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FJ 1; 147/2017, de 13 de noviembre, FJ 1, y 177/2019,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282/2014, de 17 de noviembre, FJ 4; 59/2015, de 16 de marzo, FJ 2, y 177/2019,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solicitado por el ministerio fiscal, que resulta improcedente la suspensión solicitada del procedimiento de ejecución hipotecaria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en procesos de amparo precedentes (AATC 81/2019, de 15 de julio, 148, 155/2019 y 156/2019, de 25 de noviembre, FFJJ 3; y 170/2019, 171/2019, 173/2019, 174/2019, y 177/2019, de 16 de diciembre, FFJJ 3),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al solicitarse el amparo el procedimiento se encontraba en la fase inicial, una vez rechazada la oposición a la ejecución. En tales circunstancias no es posible afirmar que la continuación del curso del procedimiento judicial, incluso si se produjera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como se anticipó, se reputa medida suficiente e idónea para evitar el perjuicio derivado de que la adquisición del bien por tercero lo haga irreivindicable. Esta misma ha sido la solución acogida recientemente, entre otros, en los AATC 148/2019, 155/2019, y 156/2019, FFJJ 3, y 170/2019, 171/2019, 173/2019, 174/2019, y 177/2019, FFJJ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hicimos en el fundamento tercero de los mencionados autos, 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392-2018,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