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24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la magistrada doña María Luisa Balaguer Callejón, en el recurso de amparo núm. 3539-2019, promovido por la entidad Euroinversiones Inmobiliarias Costa Sur, S.L., en autos del Juzgado de Primera Instancia e Instrucción núm. 5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junio de 2019, la entidad Penrei Inversiones, S.L., representada por la procuradora de los tribunales doña Blanca Berriatua Horta y bajo la dirección del letrado don Marcelino Gilabert García, interpuso recurso de amparo contra los autos de 21 de septiembre de 2018 y de 23 de abril de 2019, dictados por el Juzgado de Primera Instancia e Instrucción núm. 5 de Lorca, en el procedimiento de ejecución hipotecaria núm. 392-2018,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392-2018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43.242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6 de junio de 2018 se acordó despachar ejecución frente las sociedades demandadas por la cantidad de 2.248,32 € de principal y 2.400 € presupuestados inicialmente para intereses y costas. El citado auto y el decreto de la misma fecha que le sigue fueron comunicados a las citadas sociedades a través de la sede judicial electrónica el día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31 de julio de 2018. Por auto de 21 de septiembre de 2018 se acordó su inadmisión por considerar la pretensión extemporánea, tomando como fecha de notificación el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13 de junio de 2018, sino el 24 de julio siguiente, fecha en la que accedió a la web y procedió a su descarga, y que la comunicación remitida a través de la dirección electrónica habilitada no puede entenderse más que un aviso de puesta a disposición o descarga de su contenido durante un plazo determinado (en el caso desde el 13 de junio hasta el 24 de julio de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23 de abril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273.3 LEC. Según el auto, en el presente caso “consta que la notificación se puso a disposición de las recurrentes en fecha 13 de junio de 2018, no accediendo al contenido hasta el día 24 de julio de 2018 (fuera de los tres días que establece la normativa procesal), presentando los escritos de oposición a la ejecución en fecha 31 de julio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 tal y como reconoce la sentencia 37/1984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enero de 2020 la Sección Segunda de este Tribunal acordó admitir a trámite el recurso de amparo y dirigir comunicación al Juzgado de Primera Instancia e Instrucción núm. 5 de Lorca, a fin de que, en plazo que no exceda de diez días emplace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3 de febrero de 2020 la parte demandante formuló sus alegaciones, reiterando lo expuesto en el otrosí de su demanda y trascribiendo como fundamento de su pretensión lo expresado en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11 de febrero de 2020, el ministerio fiscal se opuso a la pretendida suspensión del procedimiento de ejecución hipotecaria, e interesó que, alternativamente, se acuerde la anotación preventiva de la demanda de amparo en el registro de la propiedad, aunque esta última medida no haya sido solicitada en el recurso. Tras exponer la doctrina de este Tribunal sobre suspensión de resoluciones y actos impugnados, aduce que en el presente caso la petición del demandante no parece muy fundada, sostiene que acordar la suspensión comportaría la paralización del procedimiento ejecutivo, que por su propia naturaleza goza de las características de celeridad y sumariedad. Considera mucho más eficaz la anotación preventiva de la demanda en el registro de la propiedad, pues a través de dicha medida cautelar es posible evitar que un hipotético tercer adquirente del inmueble hipotecado, en virtud de su buena fe registral, quede especialmente protegido, perjudicando así los intereses concernidos.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392-2018,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FJ 1; 147/2017, de 13 de noviembre, FJ 1, y 177/2019,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282/2014, de 17 de noviembre, FJ 4; 59/2015, de 16 de marzo, FJ 2, y 177/2019,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(AATC 81/2019, de 15 de julio, 148/2019, 155/2019, y 156/2019, de 25 de noviembre, FFJJ 3; y 170/2019, 171/2019, 173/2019, 174/2019, y 177/2019 de 16 de diciembre, FFJJ 3),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al solicitarse el amparo el procedimiento se encontraba en la fase inicial, una vez rechazada la oposición a la ejecución. En tales circunstancias no es posible afirmar que la continuación del curso del procedimiento judicial, incluso si se produjera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 Esta misma ha sido la solución acogida recientemente, entre otros, en los AATC 148/2019, 155/2019 y 156/2019, FFJJ 3, y 170/2019, 171/2019, 173/2019, 174/2019, y 177/2019, FFJJ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hicimos en el fundamento tercero de los mencionados autos, 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392-2018,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