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24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en el recurso de amparo núm. 3562-2019, promovido por la entidad Euroinversiones Inmobiliarias Costa Sur, S.L., en autos del Juzgado de Primera Instancia e Instrucción núm. 5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junio de 2019, la entidad Euroinversiones Inmobiliarias Costa Sur, S.L., representada por la procuradora de los tribunales doña Blanca Berriatua Horta y bajo la dirección del letrado don Marcelino Gilabert García, interpuso recurso de amparo contra los autos de 21 de septiembre de 2018 y de 22 de abril de 2019, dictados por el Juzgado de Primera Instancia e Instrucción núm. 5 de Lorca, en el procedimiento de ejecución hipotecaria núm. 291-2018,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291-2018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43.290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9 de mayo de 2018 se acordó despachar ejecución frente las sociedades demandadas por la cantidad de 2.248,32 € de principal y 2.400 € presupuestados inicialmente para intereses y costas. El citado auto y el decreto de la misma fecha que le sigue fueron comunicados a las citadas sociedades a través de la sede judicial electrónica el día 11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10 de julio de 2018. Por auto de 21 de septiembre de 2018 se acordó su inadmisión por considerar la pretensión extemporánea, tomando como fecha de notificación el 11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11 de mayo de 2018, sino el 26 de junio siguiente, fecha en la que accedió a la web y procedió a su descarga, y que la comunicación remitida a través de la dirección electrónica habilitada no puede entenderse más que un aviso de puesta a disposición o descarga de su contenido durante un plazo determinado (en el caso desde el 11 de mayo hasta el 26 de junio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22 de abril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273.3 LEC. Según el auto, en el presente caso “consta que la notificación se puso a disposición de las recurrentes en fecha 11 de mayo de 2018, no accediendo al contenido hasta el día 26 de junio de 2018 (fuera de los tres días que establece la normativa procesal), presentando los escritos de oposición a la ejecución en fecha 10 de julio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66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enero de 2020 la Sección Segunda de este Tribunal acordó admitir a trámite el recurso de amparo y dirigir comunicación al Juzgado de Primera Instancia e Instrucción núm. 5 de Lorca, a fin de que, en plazo que no exceda de diez días, remitiera certificación o fotocopia adverada de las actuaciones correspondientes a los autos de ejecución hipotecaria y emplazara por el mismo plazo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3 de febrero de 2020 la parte demandante formuló sus alegaciones, reiterando lo expuesto en el otrosí de su demanda y trascribiendo como fundamento de su pretensión lo expresado en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10 de febrero de 2020, el ministerio fiscal se opuso a la pretendida suspensión del procedimiento de ejecución hipotecaria, e interesó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la petición del demandante no parece muy fundada, sostiene que acordar la suspensión comportaría la paralización del procedimiento ejecutivo, que por su propia naturaleza goza de las características de celeridad y sumariedad. Considera mucho más eficaz la anotación preventiva de la demanda en el registro de la propiedad, pues a través de dicha medida cautelar es posible evitar que un hipotético tercer adquirente del inmueble hipotecado, en virtud de su buena fe registral, quede especialmente protegido, perjudicando así los intereses concernidos.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291-2018,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FJ 1; 147/2017, de 13 de noviembre, FJ 1, y 177/2019,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282/2014, de 17 de noviembre, FJ 4,;59/2015, de 16 de marzo, FJ 2, y 177/2019,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148/2019, 155/2019 y 156/2019, de 25 de noviembre, FFJJ 3; y 170/2019, 171/2019, 173/2019, 174/2019 y 177/2019 de 16 de diciembre, FFJJ 3),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al solicitarse el amparo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 Esta misma ha sido la solución acogida recientemente, entre otros, en los AATC 148/2019, 155/2019 y 156/2019, FFJJ 3 y 170/2019, 171/2019, 173/2019, 174/2019 y 177/2019, FFJJ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hicimos en el fundamento tercero de los mencionados autos, 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291-2018,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