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9 de marzo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3139-2019, promovido por la entidad Euroinversiones Inmobiliarias Costa Sur, S.L., en autos del Juzgado de Primera Instancia e Instrucción núm. 6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mayo de 2019, la entidad Euroinversiones Inmobiliarias Costa Sur, S.L., representada por la procuradora de los tribunales doña Blanca Berriatua Horta y bajo la dirección del letrado don Marcelino Gilabert García, interpuso recurso de amparo contra los autos de 17 de septiembre de 2018 y 4 de abril de 2019, dictados en el procedimiento de ejecución hipotecaria núm. 60-2018, por el Juzgado de Primera Instancia e Instrucción núm. 6 de Lorca, por los que, respectivamente, se inadmitió por extemporánea la demanda de oposición formulada y se confirmó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60-2018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núm. 43.319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29 de mayo de 2018 se acordó despachar ejecución frente las sociedades demandadas por la cantidad de 155.233 € de principal e intereses ya vencidos, y 24.040 € más como intereses y costas presupuestados. El citado auto y el decreto de la misma fecha que le sigue fueron comunicados a las citadas sociedades a través de la sede judicial electrónica el día 30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27 de julio de 2018. Por auto de 17 de septiembre siguiente se acordó su inadmisión por considerar la pretensión extemporánea, tomando como fecha de notificación el 30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la vulneración del art. 24 de la Constitución, en el que discutía la fecha de notificación del auto que despachó la ejecución y, por ello, la de vencimiento del plazo para formalizar la oposición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4 de abril de 2019. Según esta resolución, la recurrente tiene la condición de persona jurídica, por lo que desde el 1 de enero de 2017 está legalmente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febrero de 2020, la Sección Primera de este Tribunal acordó admitir a trámite el recurso de amparo y dirigir comunicación al Juzgado de Primera Instancia e Instrucción núm. 6 de Lorca, a fin de que, en plazo que no excediera de diez días procediera a emplazar a quienes hubieran sido parte en el proceso judicial del que trae causa el presente recurso de amparo, para que en igual plazo puedan comparecer, si lo desean,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14 de febrero de 2020, la parte demandante formuló sus alegaciones, reiterando lo expuesto en el otrosí de su demanda y transcribiendo como fundamento de su pretensión lo expresado, en parte, en 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24 de febrero de 2020, el ministerio fiscal se opuso a la pretendida suspensión del procedimiento de ejecución hipotecaria, interesando que, alternativamente, se acuerde la anotación preventiva de la demanda de amparo en el registro de la propiedad, aunque esta última medida cautelar no haya sido solicitada en el recurso. Tras exponer la doctrina de este Tribunal sobre suspensión de resoluciones y actos impugnados, aduce que en el presente caso el demandante no explicita razón alguna que permita afirmar que la continuación del procedimiento judicial, incluso con desplazamiento posesorio, provoque un perjuicio determinante de la pérdida de finalidad del recurso de amparo. Por contra, considera más eficaz la anotación preventiva de la demanda en el registro de la propiedad, pues a través de dicha medida cautelar ya que de esta manera se daría publicidad frente a terceros de la pendencia del recurso de amparo, lo que hace posible evitar que un hipotético tercer adquirente del inmueble hipotecado, en virtud de su buena fe registral, quede especialmente protegido, perjudicando así los intereses concernidos.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suspensión cautelar instada por la parte recurrente en amparo y dirigida frente al procedimiento de ejecución hipotecaria núm. 60-2018,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4/2020, 5/2020, 6/2020 y 8/2020, de 27 de enero),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si se produjera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 Esta misma ha sido la solución acogida recientemente, entre otras, en las resoluciones sobre medidas cautelares que han sido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60-2018,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