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9 de marzo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6089-2019,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octubre de 2019 tuvo entrada en el registro general del Tribunal Constitucional un escrito de la procuradora de los tribunales doña Blanca Berriatua Horta, en representación de la entidad Euroinversiones Inmobiliarias Costa Sur, S.L., por el que interpuso recurso de amparo contra el auto de 10 de septiembre de 2019 del Juzgado de Primera Instancia e Instrucción núm. 5 de Lorca, que desestima el recurso de reposición interpuesto por la ahora actora frente al auto de 21 de septiembre de 2018, que inadmitió por extemporánea la demanda de oposición presentada en el seno de la ejecución hipotecaria 365-2018, promovida por Banco de Sabadell,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21 de septiembre de 2018, el Juzgado de Primera Instancia e Instrucción núm. 5 de Lorca dictó un auto en el procedimiento de ejecución hipotecaria núm. 365-2018 por el que acordó: “Inadmitir a trámite la oposición formulada por la parte ejecutada Euroinversiones Inmobiliarias Costa Sur,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establece en el artículo 134 de la L.E.C., la improrrogabilidad de los plazos establecidos en la misma, y en el artículo 136 de la L.E.C., que transcurrido o pasado el término señalado para la realización de un acto procesal de parte se producirá la preclusión y se perderá la oportunidad de realizar el acto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el artículo 695 de la L.E.C., que la parte ejecutada puede oponerse al despacho de ejecución en los términos de dicho artículo y en el plazo de díez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10 de septiembre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13 de junio de 2018 no accediendo al contenido hasta el día 24 de julio de 2018 (fuera de los tres días que establece la normativa procesal), presentando los escritos de oposición a la ejecución en fecha 3 de septiembre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21 de septiembre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 21 de septiembre de 2019,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“oposición al despacho de ejecución formulada por Euroinversiones Inmobiliarias Costa Sur,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365-2018 seguido ante el Juzgado de Primera Instancia e Instrucción número 5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11 de febrero de 2020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e Instrucción núm. 5 de Lorca a fin de que, en méritos al procedimiento de ejecución hipotecaria núm. 365-2018, proceda a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11 de febrero de 2020,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14 de febrero de 2020,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de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25 de febrero de 2020,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56.1 LOTC y destacar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al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tercero adquirente queda especialmente protegido por su buena fe en la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lo que puede adoptar este Tribunal, de oficio o a instancia de parte, de conformidad con lo dispuesto en el art. 42.1 de la Ley hipotecaria.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365-2018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365-2018,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