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41</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19 de mayo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Segunda del Tribunal Constitucional compuesta por el magistrado don Andrés Ollero Tassara y la magistrada doña María Luisa Balaguer Callejón, en el recurso de amparo núm. 1188-2020, promovido por don José Manuel Ramírez Sineiro contra providencia y sentencia de la Sala de lo Civil del Tribunal Supremo en recurso de casación 4577-2018,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1188-2020 se impugna la sentencia de la Sala de lo Civil del Tribunal Supremo de 14 de noviembre de 2019 y la providencia de 21 de enero de 2020 dictada por la misma sala por la que se inadmite el incidente de nulidad de actuaciones interpuesto contra la referida sentencia, dictadas en el recurso de casación e infracción procesal núm. 4577-2018.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8 de mayo de 2020 el magistrado don Santiago Martínez-Vares García comunicó a los efectos oportunos que se abstenía de intervenir en el antes indicado recurso de amparo, de conformidad con el artículo 80 de la Ley Orgánica del Tribunal Constitucional, por concurrir la causa de abstención prevista en el artículo 219.9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Santiago Martínez-Vares García, magistrado de esta Sección Segunda del Tribunal Constitucional, la Sección, en virtud de lo previsto en el artículo 219.9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Santiago Martínez-Vares García en el recurso de amparo núm. 1188-2020,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