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3095-2019, promovido por la entidad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mayo de 2019, la entidad Euroinversiones Inmobiliarias Costa Sur, S.L., representada por la procuradora de los tribunales doña Blanca Berriatua Horta y bajo la dirección del letrado don Marcelino Gilabert García, interpuso recurso de amparo contra los autos de fecha 14 de septiembre de 2018 y 8 de abril de 2019, dictados por el Juzgado de Primera Instancia e Instrucción núm. 6 de Lorca en los autos del proceso de ejecución hipotecaria 47-2018, y por los que, respectivamente, se inadmite por extemporánea la oposición a la ejecución hipotecaria formulada por la recurrente y se desestima el recurso de reposición interpuesto contra la primera de las resoluciones citadas, que así lo dispuso. Por medio de otrosí solicitó, de conformidad con lo dispuesto en el art. 56 de la Ley Orgánica del Tribunal Constitucional (LOTC),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11 de febrero de 2020, la Sección Cuarta de este tribunal acordó admitir a trámite el recurso de amparo y, a su vez, dirigir comunicación al Juzgado de Primera Instancia e Instrucción núm. 6 de Lorca, a fin de que, en el plazo de diez días, remitiera certificación o fotocopia adverada de las actuaciones correspondientes a los autos de ejecución hipotecaria núm. 47-2018 y emplazara a quienes hubieran sido parte en el proceso del que trae causa el presente recurso de amparo, excepto a la parte recurrente en amparo, para que pudieran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misma fecha, la referida sección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día 14 de febrero de 2020, la parte demandante formuló sus alegaciones, en las que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día 24 de febrero de 2020. En síntesis, interesa que se acuerde la anotación preventiva de la demanda en el registro de la propiedad. Tras compendiar la doctrina constitucional relativa a la suspensión prevista en el art. 56 LOTC, sostiene que la solicitud de la medida de suspensión solo alude a la pérdida de finalidad del recurso, para el caso de que llegara a celebrarse la subasta, pero no ofrece ninguna razón que justifique esa pérdida de la finalidad a que se refiere. Además, el fiscal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47-2018,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pues la medida idónea es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ni sobre las características, destino y estado posesorio del inmueble hipotecado. En tales casos,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85/2019, de 15 de julio, y 15/2020, de 10 de febrero, a propósito de otros procedimientos hipotecarios en el que se plantearon los mismos argumentos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citados a su vez en los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en su lugar,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47-2018,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