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3097-2019,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6 de Lorca en el procedimiento de ejecución hipotecaria núm. 48-2018, en fechas 14 de septiembre de 2018 y 8 de abril de 2019,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48-2018, promovido por la entidad Banco de Sabadell, S.A., frente a las sociedades Euroinversiones Inmobiliarias Costa Sur, S.L., y Penrei Inversiones,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29 de mayo de 2018 se acordó despachar ejecución frente a las sociedades demandadas. El citado auto y el decreto de la misma fecha que le sigue fueron comunicados a la entidad Euroinversiones Inmobiliarias Costa Sur, S.L., a través de la sede judicial electrónica el día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27 de julio de 2018. Por auto de 14 de septiembre de 2018 se acordó su inadmisión por presentación extemporánea, tomando como fecha de notificación del auto el 30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30 de mayo de 2018, sino el 15 de julio de 2018, y que la comunicación remitida a través de la dirección electrónica habilitada no podía entenderse nada más que como un aviso de puesta a disposición o descarga de su contenido durante un plazo determinado (en el caso desde el 30 de mayo al 15 de julio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8 de abril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de 1 de octubre, del procedimiento administrativo común de las administraciones públicas (LPACAP) y 273.3 a) LEC, y determina que la recurrente interpreta de forma errónea la normativa aplicable, considerando el juzgado que, conforme al art. 162.2 LEC, transcurridos tres días sin que el destinatario acceda al contenido de la comunicación, se entenderá realizada legalmente, desplegando plenamente sus efectos. En función de esa normativa y de los acuerdos y pronunciamientos judiciales, atendidas las circunstancias del caso, entiende el órgano judicial que el escrito de oposición se presentó claramente fuera del plazo legalmente establecido en el art. 556.1 LEC, siendo por ello la oposición extemporánea, con la consecuencia legal 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30-05-2018 hasta el 15-07-2018. Si no procediera a su lectura en el plazo indicado se producirán los efectos correspondientes, según la normativa aplicable. Para que conste como leída, por favor acceda a http://notificaciones060.es Asunto: “JDO. 1 INST. E INSTR. N 6 DE LORCA EHJ/0000048/2018’”.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2020, la Sección Segunda de este tribunal acordó admitir a trámite el recurso de amparo y dirigir comunicación al Juzgado de Primera Instancia e Instrucción núm. 6 de Lorca, a fin de que emplazase a quienes hubieran sido parte en el procedimiento de ejecución hipotecaria núm. 48-2018, excepto la parte recurrente en amparo, para que en el plazo de diez días pudieran comparecer en el recurso de amparo, si lo desean. En esta providencia no se reclaman las actuaciones por estar ya incorporadas al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14 de febrero de 2020,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25 de febrero de 2020,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48-2018,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en varios autos que resuelven incidentes de ejecución de esta misma serie de recursos de amparo. Valgan como ejemplo, en relación con el mismo recurrente en amparo, los recientes AATC 174/2019 y 177/2019, de 16 de diciembre; 4/2020, 5/2020, 6/2020 y 8/2020, de 27 de enero, y 15/2020, de 10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48-2018,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