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47</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15 de junio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3544-2019, promovido por Euroinversiones Inmobiliarias Costa Sur,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6 de junio de 2019, la entidad Euroinversiones Inmobiliarias Costa Sur, S.L., representada por la procuradora de los tribunales doña Blanca Berriatua Horta y bajo la dirección del letrado don Marcelino Gilabert García, interpuso recurso de amparo contra los autos dictados por el Juzgado de Primera Instancia e Instrucción núm. 5 de Lorca en el procedimiento de ejecución hipotecaria núm. 292-2018, en fechas 21 de septiembre de 2018 y 23 de abril de 2019, por los que, respectivamente, se inadmitió por extemporánea la oposición a la ejecución hipotecaria y se confirmó esta última decisión al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5 de Lorca se sigue procedimiento de ejecución hipotecaria núm. 292-2018, promovido por la entidad Banco de Sabadell, S.A., frente a las sociedades Euroinversiones Inmobiliarias Costa Sur, S.L., y Penrei Inversiones, S.L.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9 de mayo de 2018 se acordó despachar ejecución frente a las sociedades demandadas. El citado auto y el decreto de la misma fecha que le sigue fueron comunicados a la entidad Euroinversiones Inmobiliarias Costa Sur, S.L., a través de la sede judicial electrónica el día 11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entidad Euroinversiones Inmobiliarias Costa Sur, S.L., presentó escrito de oposición a la ejecución despachada, con fecha 10 de julio de 2018. Por auto de 21 de septiembre de 2018 se acordó su inadmisión por presentación extemporánea, tomando como fecha de notificación del auto el 11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alegando, en síntesis, que las actuaciones de notificación y requerimiento no habían sido realizadas el día 11 de mayo de 2018, sino el 26 de junio de 2018, y que la comunicación remitida a través de la dirección electrónica habilitada no podía entenderse nada más que como un aviso de puesta a disposición o descarga de su contenido durante un plazo determinado (en el caso desde el 11 de mayo al 26 de junio de 2018) y entenderlo de otro modo, además de infringir los arts. 135, 152, 160, 162 de la Ley de enjuiciamiento civil (LEC), vulneraba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recurso fue resuelto por auto de 23 de abril de 2019 en sentido desestimatorio, al constatar su condición de persona jurídica y la obligación que como tal tiene de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de 1 de octubre, del procedimiento administrativo común de las administraciones públicas (LPACAP) y 373.3 LEC, y determina que la recurrente yerra “en el plazo en el que puede acceder a su contenido a efectos de la práctica de la notificación el cual es de diez días naturales desde la puesta a su disposición y ello por imperativo del art. 43 de la citada LPACAP”, que reproduce.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la interpretación ofrecida en el auto objeto de impugnación, que se apoya en la Ley de procedimiento administrativo, eludiendo las garantías exigibles para las notificaciones de un proceso judicial, cercena el derecho a la tutela judicial efectiva al privar a la recurrente del derecho a formular oposición en un proceso de ejecución hipotecaria. A tal fin, aduce que siguió la literalidad de las instrucciones contenidas en un correo electrónico que recibió procedente del servicio de notificaciones electrónicas, accediendo al contenido de la notificación dentro del plazo establecido en el mismo. El citado correo tiene el siguiente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recibido una Notificación del organismo emisor Juzgados y Tribunales (SGAJ) en la Dirección Electrónica Habilitada Única del titular Euro-Inversiones Inmobiliarias Costa Sur SL — NIF B73258006.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Notificación estará disponible en su Dirección Electrónica Habilitada única desde el 11-05-2018 hasta el 26-07-2018. Si no procediera a su lectura en el plazo indicado se producirán los efectos correspondientes, según la normativa aplicable. Para que conste como leída, por favor acceda a http://notificaciones060.es Asunto: “JDO. 1 INST. E INSTR. N 5 DE LORCA EHJ/00000292/2018’”.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la entidad recurrente afirmando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solo dirigido al legislador, sino también al intérprete, obligándole a promover la defensa mediante la correspondiente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si como consecuencia de su continuación “se decretara la celebración de subasta y la eventual adjudicación a terceros, puede hacer esto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10 de febrero de 2020, la Sección Segunda de este tribunal acordó admitir a trámite el recurso de amparo y dirigir comunicación al Juzgado de Primera Instancia e Instrucción núm. 5 de Lorca, a fin de que emplazase a quienes hubieran sido parte en el procedimiento de ejecución hipotecaria núm. 292-2018, excepto la parte recurrente en amparo, para que en el plazo de diez días pudieran comparecer en el recurso de amparo, si lo desean. En esta providencia no se reclaman las actuaciones por estar ya incorporadas al expediente.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 través de escrito presentado el 14 de febrero de 2020, la parte demandante formuló sus alegaciones, reiterando lo dicho en el otrosí de su demanda y trascribiendo parte del ATC 287/2013,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registrado el 25 de febrero de 2020, interesa que se acuerde la anotación preventiva de la demanda en el registro de la propiedad, aunque esta última medida no haya sido solicitada en el recurso de amparo. Tras exponer la doctrina de este tribunal sobre suspensión de resoluciones y actos impugnados, considera que la aplicación al caso de dicha doctrina nos debe llevar a considerar que nos encontramos en uno de esos supuestos en que, de no adoptarse la medida de anotación preventiva de la demanda, la tutela que pudiera otorgarse por este tribunal no sería completa si se deja abierta la posibilidad de que la finca sea transmitida a un tercero de buena fe mientras se sustancia y resuelve el presente recurso de amparo, por lo que interesa la anotación preventiva de la demanda en el registro de la propiedad evitando así situaciones cuya reversibilidad sería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292-2018, seguido en el Juzgado de Primera Instancia e Instrucción núm. 5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de 10 de febrero,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improcedente la suspensión solicitada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con un desplazamiento posesorio, provoque por sí sola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su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en varios autos que resuelven incidentes de ejecución de esta misma serie de recursos de amparo. Valgan como ejemplo, en relación con el mismo recurrente en amparo, los recientes AATC 174/2019 y 177/2019, de 16 de diciembre, 4/2020, 5/2020, 6/2020 y 8/2020, de 27 de enero, y 15/2020, de 10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292-2018, seguido en el Juzgado de Primera Instancia e Instrucción núm. 5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