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30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Pedro José González-Trevijano Sánchez, don Antonio Narváez Rodríguez, don Ricardo Enríquez Sancho y don Cándido Conde-Pumpido Tourón, en cuestión de inconstitucionalidad núm. 4570-2019, promovida por la Sección Segunda de la Sala de lo Contencioso-administrativo del Tribunal Supremo, sobre los artículos 107.1, 107.2 a) y 107.4, todos ellos del texto refundido de la Ley reguladora de las haciendas locales, aprobado por el Real Decreto Legislativo 2/2004, de 5 de marzo.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julio de 2019 tuvo entrada en el registro general del Tribunal Constitucional un escrito de la Sección Segunda de la Sala Tercera del Tribunal Supremo, al que se acompaña, junto al testimonio del correspondiente procedimiento, el auto de 1 de julio de 2019, por el que se acuerda plantear una cuestión de inconstitucionalidad con relación a los arts. 107.1, 107.2 a) y 107.4, todos ellos del texto refundido de la Ley reguladora de las haciendas locales, aprobado por el Real Decreto Legislativo 2/2004, de 5 de marzo (en adelante, TRLHL), por posible contradicción tanto con el principio de capacidad económica como con la prohibición de confiscatoriedad, uno y otra previstos en el art. 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presentan relevancia para esta cuestión de inconstitucionalidad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25 de abril de 2002 doña María Pilar Moreno Lahoz y don Jesús Chavanel Torralba adquirieron una vivienda en Zaragoza por un precio de 149 051 € que procedieron a reformar invirtiendo 34 800,89 €. Posteriormente, el día 30 de diciembre de 2015 procedieron a su venta por un importe de 153 000 €, obteniendo una ganancia patrimonial bruta de 3 949 € (sin contar ni los gastos y tributos soportados tanto al momento de la adquisición como al de la transmisión ni el coste de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consecuencia de la anterior venta presentaron ante el Ayuntamiento de Zaragoza con fecha de 3 de enero de 2016 una autoliquidación por el impuesto sobre el valor de los terrenos de naturaleza urbana, con un incremento de valor de 23 007,51 € derivado de aplicar al valor catastral del suelo al momento de la transmisión (55 306,51 €) el porcentaje derivado de aplicar las normas de valoración previstas en el texto refundido de la Ley de haciendas locales. La cuota tributaria resultante (al 30 por 100 de tipo de gravamen) fue de 6 902,25 €.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Fruto de la anterior autoliquidación el Ayuntamiento de Zaragoza les giró con fecha de 11 de enero de 2016 una liquidación por las mismas cuantías e importes incorporados a la autoliquidación.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Dado que, a juicio de los transmitentes, no hubo ganancia patrimonial (sumando al precio de compra los gastos de reforma), y, por tanto, ante la inexistencia de hecho imponible del impuesto, con fecha de 22 de marzo de 2016 solicitaron del Ayuntamiento de Zaragoza la rectificación de la autoliquidación presentada. Además, incluso sin contar los gastos de reforma, si bien el incremento patrimonial fue de 3 949 €, el importe del tributo ascendió a 6 902,25 €.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resolución de la agencia municipal tributaria del Ayuntamiento de Zaragoza, con fecha de 17 de junio de 2016 se rechazó la solicitud de rectificación de la autoliquidación presentada, al ser el resultado fruto de la correcta aplicación de las normas del texto refundido ya mencionado. Interpuesto recurso de reposición, mediante nueva resolución de la agencia municipal tributaria, con fecha de 29 de diciembre de 2016 se desestimó por las mismas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Contra la resolución desestimatoria del recurso de reposición se interpuso un recurso contencioso-administrativo cuyo conocimiento le correspondió al Juzgado de lo Contencioso-Administrativo núm. 5 de Zaragoza. Por sentencia núm. 263/2017, de 5 de diciembre, se estimó, con devolución de la cantidad pagada, intereses de demora incluidos, al considerar que la liquidación había sido girada en aplicación de unos preceptos que habían sido declarados inconstitucionales por la STC 59/2017.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Promovido con fecha de 23 de enero de 2018 un recurso de casación contra la anterior sentencia por el Ayuntamiento de Zaragoza, se tuvo por preparado mediante auto del Juzgado de lo Contencioso-Administrativo núm. 5 de Zaragoza con fecha de 8 de febrero de 2018, siendo admitido a trámite mediante auto de la Sección Primera de la Sala Tercera del Tribunal Supremo de fecha 19 de septiembre de 2018, al tener interés casacional consistente en determinar si “para garantizar la seguridad jurídica (artículo 9.3 de la Constitución), la igualdad en la aplicación de la ley (artículo 14 de la Constitución) y el respeto a la reserva de ley en materia tributaria (artículo 31.3 de la Constitución), la inconstitucionalidad de los artículos 107.1, 107.2 a) y 110.4 TRLHL, declarada en la sentencia del Tribunal Constitucional 59/2017, de 11 de mayo, obliga en todo caso a la anulación de las liquidaciones y al reconocimiento del derecho a la devolución de ingresos indebidos en las solicitudes de rectificación de autoliquidaciones por el impuesto sobre el incremento de valor de los terrenos de naturaleza urbana, sin entrar a valorar la existencia o no en cada caso de una situación inexpresiva de capacidad económica, como deriva de la tesis que sostiene el juez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Formalizado el recurso de casación mediante escrito con fecha de 14 de noviembre de 2018, una vez concluso el correspondiente procedimiento, mediante providencia con fecha de 16 de mayo de 2019 de la Sección Segunda de esa misma Sala Tercera del Tribunal Supremo, con suspensión del término para dictar sentencia, se dio traslado a las partes y al Ministerio Fiscal para que alegasen sobre si los arts. 107.1, 107.2 a) y 107.4 TRLHL pudieran ser confiscatorios al principio de capacidad económica y a la prohibición de confiscatoriedad recogidos en el art. 31.1 CE, al resultar una cuota tributaria mayor que la plusvalía efectivamente obtenida, no solo agotando la deuda tributaria la riqueza sometida a tributación, sino superándola.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Evacuado el trámite, ni el Ayuntamiento de Zaragoza (mediante escrito de 4 de junio de 2019), ni la señora Moreno Lahoz y el señor Chavanel Torralba (mediante escrito de 4 de junio de 2019), ni, en fin, el Ministerio Fiscal (por informe de 21 de junio de 2019) se opusieron 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de 1 de julio de 2019, el órgano judicial proponente, tras precisar los hechos que dieron lugar al planteamiento del recurso de casación y concretar las alegaciones realizadas por las partes y por el Ministerio Fiscal en el trámite de audiencia previo al planteamiento de la presente cuestión de inconstitucionalidad, subraya que el incremento real de valor generado por la transmisión del inmueble por la diferencia entre el precio de adquisición (149 051 €) y el de venta (153 000 €), sin tomar en consideración los gastos de reforma (34 800,89 €), ascendió a 3 949  €, mientras que la cuota tributaria liquidada ascendió a 6 902,25 €.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hecha la anterior precisión, pasa a destacar el órgano judicial la declaración de inconstitucionalidad efectuada por la STC 59/2017, de 11 de mayo, de los arts. 107.1, 107.2 a) y 110.4 TRLHL, aunque “únicamente en aquellos supuestos en los que somete a tributación situaciones inexpresivas de capacidad económica, esto es, aquellas que no presentan aumento de valor del terreno al momento de la transmisión” (FJ 5). Señala a este respecto que dicha declaración (contenida en su FJ 5) dio lugar a interpretaciones dispares por parte de los tribunales superiores de justicia a las que puso término la sentencia de la misma Sección Segunda de la Sala Tercera del Tribunal Supremo de fecha 6 de julio de 2018 (recurso de casación núm. 6226-2017), en el sentido de entender, de un lado, que la declaración de inconstitucionalidad y nulidad de los arts. 107.1 y 107.2 a) TRLHL fue parcial y, por tanto, si bien resultaban inaplicables solo en aquellos supuestos en los que sometían a tributación situaciones de inexistencia de incrementos de valor, seguían siendo plenamente aplicables en aquellos otros en los que el obligado tributario no había logrado acreditar la ausencia de un incremento de su valor. Y de otro, que la declaración de inconstitucionalidad y nulidad del art. 110.4 TRLHL fue total, resultando inaplicable, en todo caso, en la medida que no permitía acreditar un resultado diferente al resultante de la aplicación de las reglas de valoración del impuesto (fundamento de Derecho séptimo). Así las cosas, para la sentencia del Tribunal Supremo de 6 de julio de 2018, desde la STC 59/2017 se abrió la posibilidad para los sujetos pasivos del impuesto de demostrar que el terreno no había experimentado un aumento de valor y, por ende, que no se había producido el nacimiento de la obligación tributaria, no procediendo, entonces, la liquidación del impuesto. Y siendo la prueba de la inexistencia de una plusvalía gravada de los sujetos pasivos, estos podían ofrecer cualquier principio de prueba que, al menos indiciariamente, permitiese apreciarla, como podría ser la “diferencia entre el valor de adquisición y el de transmisión que se refleja en las correspondientes escrituras públicas”, “una prueba pericial que confirme tales indicios” o, en fin, “cualquier otro medio probatorio ex artículo 106. 1 Ley general tributaria que ponga de manifiesto el decremento de valor del terreno transmitido”.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sus dudas de constitucionalidad se circunscriben a los arts. 107.1 (que enuncia con carácter general la regla de cálculo de la base imponible del impuesto), 107.2 a) (que establece como primer elemento para su cálculo el valor catastral del terreno transmitido) y 107.4, todos ellos del TRLHL (que acoge como segundo elemento para ese cálculo un porcentaje de incremento que deriva del número de años de permanencia del bien en el patrimonio del contribuyente), que han generado —en el caso concreto— que la cuota tributaria derivada de la liquidación del impuesto sea de importe considerablemente superior a la plusvalía realmente obtenida por el sujeto pasivo. Así las cosas, de conformidad con la doctrina del Tribunal Constitucional sobre el principio de capacidad económica (plasmada en el FJ 5 del ATC 71/2008, de 26 de febrero, y recordada en el FJ 2 de la STC 26/2017, de 16 de febrero), dicho principio tiene, dos manifestaciones: como “fundamento de la imposición”, que es predicable de cada tributo en particular y obliga al legislador a gravar exclusivamente manifestaciones de riqueza reales o potenciales, no inexistentes o ficticias; y como “medida de la imposición”, que opera como un principio inspirador del sistema tributario e impone al poder legislativo la modulación de la carga tributaria en función de la intensidad con la que se ponga de manifiesto la riqueza sometida a tributación. La interdicción de la confiscatoriedad, por su parte, no solo opera como reverso del principio de capacidad económica, “como fundamento” de la imposición, sino que constituye también un límite infranqueable a la progresividad del entero sistema tributario, como garantía frente a posibles abusos. No es, sin embargo, esta segunda manifestación de la prohibición de confiscatoriedad la que se conculca en el caso concreto, a juicio de la sala tercera, sino la primera, esto es, la que obliga al legislador a no agotar la riqueza imponible so pretexto del deber de contribuir al sostenimiento de los gastos públicos, agotamiento de la riqueza que no solo se produce en el asunto recurrido (como ha quedado acreditado en el procedimiento al ser la carga fiscal singular soportada por el contribuyente superior al importe de la riqueza que justificaba y legitimaba la exacción), sino que se manifiesta en un buen número de casos (y, por tanto, no exclusivamente en supuestos patológicos o marginales) como consecuencia de la aplicación de la regla objetiva de cálculo de la base imponible establecida en el art. 107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lo que antecede, al ser la cuota pagada superior al rendimiento obtenido, no solo se estaría gravando una riqueza al margen de la capacidad real (sometiendo a tributación de manera igual tanto a quien obtiene un incremento del 1 por 100 como a quien lo genera del 50 por cien) en contra de los principios de capacidad económica y progresividad del art. 31.1 CE, sino que se estaría produciendo un efecto confiscatorio contrario al art. 31.1 CE y al derecho de propiedad garantizado tanto por el art. 33 de la Constitución española, por el art. 1 del protocolo adicional núm. 1 al Convenio Europeo de Derechos Humanos y por el apartado 1 del art. 17 de la Carta de los Derechos Fundamentales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señala el auto de planteamiento de la cuestión que, como ha recordado la STC 26/2017, la prohibición constitucional de confiscatoriedad del art. 31.1 CE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(FJ 2). En consecuencia,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de 4 de octubre, FJ 9) o que sometiese a gravamen una riqueza inexistente en contra del principio de capacidad económica, estaría incurriendo en un resultado obviamente confiscatorio que incidiría negativamente en aquella prohibición constitucional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 acuerdo con el auto de planteamiento de la cuestión, teniendo en cuenta que la interdicción de confiscatoriedad se orienta, en última instancia, a la salvaguarda del derecho de propiedad privada de los contribuyentes, no pueden desconocerse en la aplicación del principio establecido en el art. 31.1 CE las exigencias que, de conformidad con el Tribunal Europeo de Derechos Humanos, dimanan del derecho reconocido en el art. 1 del Protocolo núm. 1 al CEDH. Según reiterada jurisprudencia del Tribunal Europeo de Derechos Humanos , los dos apartados de este precepto deben ser objeto de una interpretación integradora que tome en consideración, de una parte, la protección del derecho de propiedad y, de otra, los intereses generales, entre los que se encuentra la denominada "excepción tributaria" (esto es, la garantía del pago de los impuestos). De esta forma, cualquier norma tributaria sustantiva, en la medida en que supone una injerencia en la·esfera patrimonial de los contribuyentes, debe guardar una razonable relación de proporcionalidad entre los medios empleados y el fin perseguido (SSTEDH de 3 de julio de 2003, asunto Buffalo S.R.L. en liquidación c. Italia, § 29 y ss.; de 14 de mayo de 2013, asunto N.K.M. c. Hungría, § 32 a 76; o de 2 de julio de 2013, asunto R.Sz. c. Hungría, § 31 a 62), sin que pueda incurrir en una carga fiscal irrazonable o excesiva (excessive tax burden) (STEDH de 14 de mayo de 2013, asunto N.K.M. c. Hungría, § 42). Y aunque el Tribunal Europeo de Derechos Humanos se ha negado a determinar en abstracto si la carga fiscal era o no cuantitativamente hablando de naturaleza confiscatoria, sin embargo, ha considerado que el principio de proporcionalidad constituye un parámetro inexcusable en la ponderación del "justo equilibrio" con arreglo al cual debe valorarse la adecuación de las normas tributarias a lo establecido en el art. 1 del Protocolo núm. 1 (SSTEDH de 14 de mayo de 2013, asunto N.K.M. c. Hungría, § 67; y de 2 de julio de 2013, asunto R.Sz. c. Hungría, § 56).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 la luz de lo expuesto, a juicio de la Sección Tercera de la Sala Tercera del Tribunal Supremo, existen serias dudas de constitucionalidad en relación con los arts. 107.1, 107.2 a) y 107.4 TRLHL, en la medida en que, en aplicación de los mismos, puede llegar a exigirse a un contribuyente una cuota en concepto de impuesto de importe superior a la riqueza que está en la base de la imposición, con el efecto confiscatorio que ello conlleva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marzo de 2020, la Sección Primera del Tribunal Constitucional acordó oír al fiscal general del Estado para que, en el plazo de diez días, y a los efectos que determina el artículo 37.1 LOTC, alegase lo que considerase conveniente “acerca de la admisibilidad de la presente cuestión de inconstitucionalidad, por si a la luz de la STC 126/2019, de 31 de octubre, BOE de 6 de diciembre de 2019, hubiese perdido objeto y no cumpliese sobrevenidamente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5 de junio de 2020, en el que concluye que procede declarar extinguida, por perdida sobrevenida del objeto,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hacer una exposición de los antecedentes y de recoger los razonamientos del auto de planteamiento de la cuestión, comienza el escrito destacando el cumplimiento del requisito procesal de audiencia a las partes y al Ministerio Fiscal. En cuanto a la aplicabilidad de los preceptos legales cuestionados de cuya constitucionalidad depende la resolución de la cuestión jurídica sometida a la consideración del Tribunal Supremo y respecto del juicio de relevancia, la fiscal general del Estado señala que la Sala de lo Contencioso-Administrativo del Tribunal Supremo expone los motivos de por qué la constitucionalidad o no de los preceptos cuestionados conllevan la aceptación o denegación de la pretensión formulada en el recurso de casación del que trae causa la presente cuestión de inconstitucionalidad así como las razones por los que dichos preceptos serían contrarios a los principios de capacidad económica y de prohibición de la confiscatoriedad del art. 31.1 CE en la medida que someten a tributación una riqueza no real al exigir una cuota tributaria superior al incremento real del valor del terreno en el momento de la transmisión onerosa.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de la fiscal señalando que la presente cuestión de inconstitucionalidad aborda una duda de inconstitucionalidad similar a la ya resuelta por la STC 126/2019, de 31 de octubre, que declaró inconstitucional y nulo el art. 107.4 TRLHL con el alcance que la misma establece, parte del mismo supuesto de hecho del litigio del que trae causa la presente cuestión de inconstitucionalidad y utiliza, en esencia, los mismos argumentos para apoyar la inconstitucionalidad de los preceptos y, en concreto, del art. 107.4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señala la fiscal, la Sala de lo Contencioso-Administrativo del Tribunal Supremo cuestiona los preceptos del TRLHL porque la transmisión del inmueble ha generado una plusvalía de menor importe que la cuota tributaria que deriva de la liquidación del impuesto sobre el incremento del valor de los terrenos de naturaleza urbana. En igual sentido, el alto tribunal, en la STC 126/2019, analizó el mismo supuesto de inconstitucionalidad del art. 107.4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fiscal señalando que a la vista de la coincidencia objetiva entre las dos cuestiones de inconstitucionalidad, de acuerdo con la doctrina constitucional, por todas, [STC 93/2017, FJ 2 d), y 101/2017, FJ 2 c)] y dado que el art. 107.4 TRLHL ya ha sido declarado inconstitucional y nulo con el alcance que determinan los fundamentos jurídicos 4 y 5 de la STC 126/2019 y que los arts. 107.1 y 107.2 a) TRLHL fueron declarados inconstitucionales y nulos, “únicamente en la medida que someten a tributación situaciones de inexistencia de incrementos de valor”, por la STC 59/2017, se ha producido la pérdida sobrevenida de objeto de la presente cuestión de inconstitucionalidad, pues la duda de inconstitucionalidad que ha planteado la Sección Segunda de la Sala de lo Contencioso-Administrativo del Tribunal Supremo ya había quedado disipada.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Supremo ha promovido cuestión de inconstitucionalidad en relación con los arts. 107.1, 107.2 a) y 107.4, todos ellos del texto refundido de la Ley reguladora de las Haciendas Locales, aprobado por el Real Decreto Legislativo 2/2004, de 5 de marzo (en adelante, TRLHL), por posible contradicción tanto con el principio de capacidad económica como con la prohibición de confiscatoriedad, uno y otra previstos en el art. 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artículos 107.1, 107 .2 a) y 107.4 presentan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107, apartados 1 y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base imponible de este impuesto está constituida por el incremento del valor de los terrenos, puesto de manifiesto en el momento del devengo y experimentado a lo largo de un período máximo de 20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 la determinación de la base imponible, habrá de tenerse en cuenta el valor del terreno en el momento del devengo, de acuerdo con lo previsto en los apartados 2 y 3 de este artículo, y el porcentaje que corresponda en función de lo previsto en su apartado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valor del terreno en el momento del devengo resultará de lo establecido en las siguientes reglas: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las transmisiones de terrenos, el valor de éstos en el momento del devengo será el que tengan determinado en dicho momento a efectos del impuesto sobre bienes inmuebles”.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107.4: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valor del terreno en el momento del devengo, derivado de lo dispuesto en los apartados 2 y 3 anteriores, se aplicará el porcentaje anual que determine cada ayuntamiento, sin que aquél pueda exceder de los límites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Período de uno hasta cinco años: 3,7.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Período de hasta 10 años: 3,5.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Período de hasta 15 años: 3,2.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Período de hasta 20 años: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determinar el porcentaje, se aplicarán las reglas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incremento de valor de cada operación gravada por el impuesto se determinará con arreglo al porcentaje anual fijado por el ayuntamiento para el período que comprenda el número de años a lo largo de los cuales se haya puesto de manifiesto dicho incremento.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porcentaje a aplicar sobre el valor del terreno en el momento del devengo será el resultante de multiplicar el porcentaje anual aplicable a cada caso concreto por el número de años a lo largo de los cuales se haya puesto de manifiesto el incremento del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determinar el porcentaje anual aplicable a cada operación concreta conforme a la regla 1. y para determinar el número de años por los que se ha de multiplicar dicho porcentaje anual conforme a la regla 2., sólo se considerarán los años completos que integren el período de puesta de manifiesto del incremento de valor, sin que a tales efectos puedan considerarse las fracciones de años de dicho período.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porcentajes anuales fijados en este apartado podrán ser modificados por las Leyes de presupuestos generales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Segunda de la Sala de lo Contencioso-Administrativo del Tribunal Supremo considera que existen serias dudas de constitucionalidad en relación con los arts. 107.1, 107.2 a) y 107.4 TRLHL, en la medida en que, en aplicación de los mismos, puede llegar a exigirse a un contribuyente una cuota en concepto de impuesto de importe superior a la riqueza que está en la base de la imposición, con el efecto confiscatorio que ello conlleva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alega la pérdida sobrevenida del objeto de la cuestión en la medida que la STC 126/2019, de 31 de octubre, planteada a raíz de un supuesto idéntico, ha resuelto la inconstitucionalidad del art. 107.4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STC 126/2019, de 31 de octubre, estimó la cuestión de inconstitucionalidad promovida por el Juzgado de lo Contencioso-Administrativo núm. 32 de Madrid, declarando en su fallo “que el art. 107.4 del texto refundido de la Ley reguladora de las haciendas locales, aprobado por el Real Decreto Legislativo 2/2004, de 5 de marzo, es inconstitucional, en los términos previstos en la letra a) del fundamento jurídico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letra a) del fundamento jurídico 5 dispuso que “la anterior declaración de inconstitucionalidad no puede serlo, sin embargo, en todo caso, lo que privaría a las entidades locales del gravamen de capacidades económicas reales. En coherencia con la declaración parcial de inconstitucionalidad que hizo la STC 59/2017, el art. 107.4 TRLHL debe serlo únicamente en aquellos casos en los que la cuota a satisfacer es superior al incremento patrimonial realmente obtenido por el contribuyente. Eso sí, la inconstitucionalidad así apreciada no puede extenderse, sin embargo, como pretende el órgano judicial, al art. 108.1 TRLHL (tipo de gravamen), pues el vicio declarado se halla exclusivamente en la forma de determinar la base imponible y no en la de calcular la cuota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referirse la letra a) del fundamento jurídico 5 a la “anterior declaración de inconstitucionalidad”, se está remitiendo al párrafo final del fundamento jurídico 4 que es donde se expresa la conclusión de los razonamientos anteriores que justifican y determinan la “declaración de la inconstitucionalidad”. Este párrafo dispone literalmente “Por consiguiente en aquellos supuestos en los que de la aplicación de la regla de cálculo prevista en el art. 107.4 TRLHL (porcentaje anual aplicable al valor catastral del terreno al momento del devengo) se derive un incremento de valor superior al efectivamente obtenido por el sujeto pasivo, la cuota tributaria resultante, en la parte que excede del beneficio realmente obtenido, se corresponde con el gravamen ilícito de una renta inexistente en contra del principio de capacidad económica y de la prohibición de confiscatoriedad que deben operar, en todo caso, respectivamente, como instrumento legitimador del gravamen y como límite del mismo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STC 126/2019, de 31 de octubre, declaró que el art. 107.4 TRLHL, aprobado por el Real Decreto Legislativo 2/2004, de 5 de marzo, en aquellos supuestos en los que la cuota tributaria resultante sea superior al incremento patrimonial obtenido por el contribuyente, es inconstitucional por vulneración del art. 31.1 CE, en la parte que excede del beneficio realmente obtenido.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se ha interpuesto con anterioridad a que se dictase la STC 126/2019, pero se plantea precisamente en un supuesto idéntico al que desembocó en la cuestión que dio lugar a nuestro pronunciamiento, pues la cuota a pagar es superior al incremento patrimonial obtenido por el contribuyente (el incremento es de 3 949 €, mientras que la cuota tributaria liquidada ascendió a 6 902,25 €).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164 CE, y también el art. 38 LOTC, disponen que las sentencias del Tribunal Constitucional que declaren la inconstitucionalidad de una ley tienen efectos contra todos desde que se publiquen en el “Boletín Oficial del Estado”. Dicha STC 126/2019, de 31 de octubre, se publicó en el “BOE” de 6 de diciembre de 2019, por lo que a partir de ese momento el art. 107.4 TRLHL no puede regir la resolución de ningún litigio en el que se plantee uno de aquellos supuestos, ni siquiera de aquellos que estén pendientes de sentencia (entre otros los AATC 10/2016, de 19 de enero, FJ 5, o 50/2016, de 1 de marzo, FJ 4), como es el caso del litigio en el marco del cual se ha planteado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acordar, como consecuencia de ello, la inadmisión de la presente cuestión de inconstitucionalidad por pérdida sobrevenida de objeto.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