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20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6381-2018, promovido por Autocaravanas Hidalgo, S.L., contra la sentencia de 30 de mayo de 2018 dictada por el Juzgado de Primera Instancia núm. 2 de Salamanca, en el procedimiento ordinario 189-2018 instado por doña María Sánchez Martín frente a dicha sociedad y contra el auto de 17 de octubre de 2018, que desestimó el incidente de nulidad formulado por la indicada mercantil en el mismo proceso.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30 de noviembre de 2018, el procurador de los tribunales don Carlos Gómez-Villaboa y Mandri, actuando en nombre y representación de Autocaravanas Hidalgo, S.L., bajo la defensa del letrado don Daniel Tinoco Vergel,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María del Carmen Sánchez Martín interpuso demanda de juicio ordinario en reclamación de cantidad contra la mercantil Autocaravanas Hidalgo,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núm. 2 de Salamanca, al que correspondió el conocimiento del proceso, dictó decreto en el que acordó la admisión a trámite de la demanda y el emplazamiento de la sociedad demandada en el domicilio social aportado por la demandante en su escrito iniciador y disponía el libramiento de los despachos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emplazamiento no se llevó a efecto en el domicilio aportado por la demandante y señalado como tal en el decreto de admisión sino en la dirección electrónica habilitada de la sociedad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documentado este envío en el libro de actos de comunicación del órgano judicial pero sí la notificación telemática el 3 de mayo de 2018 de la diligencia de ordenación de 2 de mayo de 2018 que declara a la entidad demandada en situación de rebeldía procesal y señala el acto de audiencia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5 de septiembre de 2018 el letrado que asistía a la parte demandante remitió a la sociedad demandada un correo electrónico que incorporaba la sentencia dictada el 30 de mayo de 2018 en el proceso declarativo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 de octubre de 2018, el representante procesal de la demandante de amparo promovió ante el juzgado a quo el incidente de nulidad de actuaciones. Además de indicar cómo tuvo conocimiento del proceso, alegaba haber alertado a su mantenedor de servicios informáticos sobre la existencia de anomalías en el funcionamiento del correo electrónico que, tras diversas comprobaciones, motivaron la interposición de una denuncia el 20 de abril de 2018 ante la comisaría local que la Policía Nacional dispone en Alcalá de Guadaira y aportaba, en apoyo de tales alegaciones, los documentos justificativos de estos hechos —copias del correo electrónico, del informe del técnico informático y de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Primera Instancia núm. 2 de Salamanca dictó auto 17 de noviembre de 2018, con esta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la nulidad de actuaciones interesada por Autocaravanas Hidalgo, S.L. representada por la procuradora Sra. Martínez Lamelo sin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desestimación del incidente,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Para que proceda la nulidad de actuaciones es menester que la indefensión, la limitación de los medios de defensa, haya sido producida por una indebida actuación del órgano judicial, sin que pueda invocarse cuando la misma tenga causa de inactividad, negligencia o falta de diligencia procesal exigible del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el emplazamiento de la demandada, sociedad limitada, tiene lugar según justificante electrónico, medio de comunicación establecido en el artículo 152 LEC, surtiendo los efectos transcurridos tres días de la recepción salvo que el destinatario lo abra dándose por enterado, artículo 162 LEC, sin que este acredite que la falta de acceso se debiera a causa técnica ya que las anomalías que alega sobre su recepción no han sido puestas en conocimiento del organismo público que emite la dirección electrónica habilitada de la demandada para que en su caso se hicieran las comprobaciones oportunas, siendo de resaltar que por la propia mecánica de la dirección electrónica habilitada las modificaciones son borradas por el sistema transcurridos noventa días después de cualquier cambio de estado de la misma, aceptación, rechazo o rechazo automático y el rechazo automático se produce a los diez días desde la recepción y transcurridos noventa días más se produce el borrado, por lo que lo único que puede justificarse es la falta de diligencia de la demandada que estuvo más de 100 días sin revisar su dirección electrónica habilitada, por lo que se desestima la nulidad de actuaciones sin hacer declaración expresa sobre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el auto de 18 de octubre de 2018,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sin observar la doctrina constitucional sobre la práctica de los actos de comunicación en el proceso. Considera que el órgano judicial utilizó la dirección electrónica habilitada sin cerciorarse de su efectiva recepción y sin agotar las posibilidades de localización que tenía a su alcance como indica el 156 de la Ley de enjuiciamiento civil (LEC) en la dirección que había sido expresamente facilitada por la demandante. Llama la atención sobre la contradicción que alberga la modalidad del emplazamiento acordada en el decreto de admisión y el apartamiento de la misma en su ejecución. Subraya la indefensión provocada al haberle sustraído la oportunidad de oponerse en parte o allanarse a la demanda, pues la cuantía no era discutida por dicha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2 de julio de 2019 por la que acordó: (i) admitir a trámite el recurso, “apreciando que concurre en el mismo una especial trascendencia constitucional (art. 50.1 LOTC) toda vez que el recurso puede dar ocasión al tribunal para aclarar o cambiar su doctrina, como consecuencia de cambios normativos relevantes para la configuración del contenido del derecho fundamental [STC 155/2009, FJ 2 b)]”; (ii) requerir al juzgado a quo para que en plazo no superior a diez días remitiera certificación o fotocopia adverada de las actuaciones del procedimiento ordinario núm. 189-2018 y de la pieza del incidente de nulidad de actuaciones núm. 106-2018; y (iii) previamente emplazar a quienes hubieran sido parte en este, excepto a la recurrente en amparo, para poder comparecer en el presente proceso constitucional en el plazo de diez días, a efecto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11 de febrero de 2020, la secretaría de justicia de la Sala Segunda de este tribunal dictó diligencia de ordenación por la que, de un lado, decidió tener por personada y parte a doña María del Carmen Sánchez Martín (previa solicitud de personación en este recurso, al haber sido parte en el proceso a quo), a través de la procuradora doña María Asunción Sánchez González, y de otro lado acordó dar vista de las actuaciones a las partes personadas y al Ministerio Fiscal, por plazo común de veinte días, a fin de que pudieran presentar las alegaciones que estimasen pertinentes, conforme con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este Tribunal Constitucional presentó escrito de alegaciones el 18 de marzo de 2020,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decreto de 5 de marzo de 2018 surgida del Juzgado de Primera Instancia e Instrucción núm. 2 de Salamanca en el juicio ordinario 189-2018” y retrotraer la actuaciones al momento inmediatamente anterior a dicha notificación para que se le dé al recurrente posibilidad de contestar a la demanda.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secuenciar los hechos con relevancia procesal, subraya la falta de concordancia entre la indicación recogida en el decreto de admisión a trámite sobre la forma de llevar a efecto el emplazamiento “en el domicilio señalado por la actora” y el medio posteriormente empleado, discordancia que se vuelve a producir en el momento de notificar la diligencia de ordenación de 2 de mayo de 2018 que declara en rebeldía a la sociedad en la que se acuerda que dicha comunicación se efectúe por correo certificado con acuse de recibo y, sin embargo, no hay constancia de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recuerda la doctrina reiterada por el tribunal sobre el carácter esencial que presentan los actos de comunicación sobre todo cuando se trata del primer acto de comunicación del proceso pues, precisa, “en este caso es un prius de la propia relación jurídico-procesal, de su eficacia depende el nacimiento de esa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detiene en la doctrina compendiada en la STC 32/2019, de 28 de febrero, cuyo FJ 4 en parte reproduce y, dentro de las formas de llevarse a cabo la comunicación de los actos judiciales, considera el fiscal determinante doctrina sentada primero en la STC 6/2019, de 17 de enero, y después por la STC 47/2019, de 8 de abril, que atiende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El resultado es que la decisión judicial sumió a la recurrente en indefensión prohibida por el art. 24.1 CE, y además conculcó el canon exigible de razonabilidad en la selección de las normas aplicables al sujetar su decisión a la correcta aplicación del sistema de notificación a través de la dirección electrónica habilitada sin reparar en la especificidad del concreto acto de comunicación, 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la secretaría de justicia se ha dictado diligencia el 25 de junio de 2020, dejando constancia de la presentación de los escritos de alegaciones del Ministerio Fiscal, del transcurso del tiempo sin que la recurrente ni el procurador personado por la otra parte lo evacuaran y dando cuenta de la conclusión del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16 de julio de 2020,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y 47/2019.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tutela judicial efectiva de la recurrente (art. 24.1 CE), la decisión adoptada en el incidente de nulidad promovido en el seno de un proceso declarativo ordinario, que ratifica la validez del emplazamiento realizado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Autocaravanas Hidalgo, S.L. impugna el auto resolutorio del incidente de nulidad de 17 de octubre de 2018 y la sentencia de 30 de mayo de 2018 recaída en el proceso ordinario núm.189-2018 al que es asociado el incidente con el núm. 106-2018.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en su sede social y con entrega en papel de la documentación correspondiente, tal y como establecen las normas de la Ley de enjuiciamiento civil y como había sido acordado en el decreto de admisión. El Ministerio Fiscal, por su parte, interesa la estimación del amparo por el motivo indicado, mientras que la demandante en el proceso de origen comparecida ante este tribunal, no ha efectuado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partirse de la doctrina establecida por el Pleno de este tribunal en la STC 6/2019, de 17 de enero, cuyo FJ 3 contiene la definición de las garantías en el empleo de los medios electrónicos para la realización de los actos de comunicación que aseguren la constancia fehaciente, tanto del hecho de la recepción del acto de comunicación por el destinatario y su fecha, como del contenido del acto. Su integración en las normas procesales debe cohonestarse con la excepción que el propio art. 155.1 LEC establece para llevar a cabo por medios electrónicos la comunicación al demandado aún no personado en el procedimiento, en cuanto al acto de citación o emplazamiento, los cuales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expresada, dictada en la cuestión de inconstitucionalidad 3323-2017, fue precursora de la doctrina específicamente abordada en procesos de amparo por la STC 47/2019, de 8 de octubre, al examinar la vulneración denunciada por la utilización de la dirección electrónica habilitada para efectuar los actos de comunicación que la ley reserva a la modalidad domiciliaria real como ha quedado dicho, y se ha repetido en las SSTC 102/2019, de 16 de septiembre, FJ 2; 150/2019, de 25 de noviembre, FJ 3, y 7/2020, de 27 de enero, FJ 2, en procesos laborales; 122/2019, de 28 de octubre, FJ 3; 129/2019, de 11 de noviembre, FJ 4; 19/2020, de 10 de febrero, FJ 2, y 40/2020, de 25 de febrero, FJ 4, en procesos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sociedad demandante de amparo no fue emplazada en su domicilio, aportado por la actora en el escrito iniciador del proceso ordinario de referencia, a pesar de ser acordado en tal sentido en el decreto de admisión de la demanda. Sin mediar decisión explicativa, el órgano judicial emplaza a través de la dirección electrónica habilitada, continúa su tramitación en rebeldía de la demandada y, como destaca el fiscal ante el tribunal en su escrito de alegaciones, reproduce la misma contradicción al notificar del mismo modo la resolución que declara la rebeldía que expresamente ordena su realización a través de correo certificado con acuse de recibo.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esas contradicciones son explicadas en el auto que resuelve el incidente de nulidad, como tampoco se detiene en la verosimilitud del problema tecnológico alegado por la recurrente ni en la apariencia de su buen proceder, indiciariamente reveladas a través de los documentos incorporados al escrito que lo promovía. La respuesta judicial se sujeta entre la rigidez formal de la norma aplicada y el reproche derivado de la falta de puesta en conocimiento del organismo público que emite la dirección electrónica habilitada y desconoce, en cambio, la diligencia mostrada por la recurrente en el rango de tiempo coincidente con la tramitación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actuaciones descritas conducen a estimar vulnerado el derecho fundamental a la tutela judicial efectiva sin indefensión en las dos vertientes señaladas pues, no solo se cercenó el acceso tempestivo al proceso, al utilizar de forma inadecuada la modalidad telemática para llevar a cabo el primer acto de comunicación sino que, cuando fue denunciada la infracción a través del incidente de nulidad, el órgano judicial ratificó la validez del emplazamiento sin consideración, no ya a la doctrina constitucional aún no publicada, sino a la constante y reiterada sobre la afectación del derecho fundamental mencionado, al colocar al interesado en una situación de indefensión que lo vulnera, salvo que la situación de incomunicación hubiera sido imputable a la propia conducta del afectado por haberse situado voluntaria o negligentemente al margen del proceso, lo que en ningún caso puede ser presumido.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Autocaravanas Hidalgo,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17 de octubre de 2018 dictado por el Juzgado de Primera Instancia e Instrucción núm. 2 de Salamanca en el incidente de nulidad promovido con relación al proceso ordinario núm.189-2020 así como la nulidad de las actuaciones realizadas desde 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esto último por el juzgado de primera instancia,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