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20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don Cándido Conde-Pumpido Tourón, en el recurso de amparo núm. 3538-2019,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junio de 2019,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5 de Lorca en el procedimiento de ejecución hipotecaria núm. 392-2018 en fechas 21 de septiembre de 2018 y 23 de abril de 2019 por los que, respectivamente, se inadmite por extemporánea la oposición a la ejecución hipotecaria y se confirma esta última decisión al desestimarse el recurso de reposición interpuesto frente a ella. La presentación de dicho escrito dio lugar al recurso de amparo núm. 3538-2019, que fue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6 de junio de 2019, la entidad Euroinversiones Inmobiliarias Costa Sur, S.L., representada por la procuradora de los tribunales doña Blanca Berriatua Horta y bajo la dirección del letrado don Marcelino Gilabert García, interpuso recurso de amparo contra los mismos autos dictados por el Juzgado de Primera Instancia e Instrucción núm. 5 de Lorca en el indicado procedimiento de ejecución hipotecaria núm. 392-2018. La presentación de dicho escrito dio lugar al recurso de amparo núm. 3539-2019 que fue también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admitir los referidos recursos de amparo, por diligencia de ordenación de 25 de mayo de 2020 se concedió audiencia al Ministerio Fiscal y a las partes por plazo común de diez días por si procediera su acumulación, de conformidad con el art. 83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Únicamente formuló alegaciones la representación de Penrei Inversiones, S.L., mediante escrito de 9 de junio de 2020 declarando su voluntad de dejar la decisión a criterio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Ley Orgánica del Tribunal Constitucional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417/2003, de 15 de diciembre, FJ 2; 5/2013, de 14 de enero, FJ único; 285/2013, de 16 de diciembre, FJ único; 82/2016, de 25 de abril, FJ único, y recientemente 24/2020, de 24 de febrero,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impugnan las mismas resoluciones judiciales procedentes de un mismo procedimiento de ejecución hipotecaria dirigido contra las entidades mercantiles ahora demandantes de amparo. Además, los recursos de amparo se encuentran en la misma fase procesal tras su admisión a trámite, y la queja, relativa a la vulneración de su derecho a la tutela judicial efectiva sin indefensión (art. 24.1 CE) en su vertiente de acceso al proceso, es común en su fundamento, tanto en los aspectos fácticos como en los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justifica, dada la conexión entre los recursos de amparo registrados con los números 3538-2019 y 3539-2019, la acumulación del recurso de amparo con número de registro más moderno al más antiguo para su resolución conjunta (art. 84.1 de la Ley de enjuiciamiento civil, en relación con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amparo registrado con el número 3539-2019, al recurso de amparo registrado con el número 3538-2019. Dichos recursos seguirán así una misma tramitación hasta su resolución, también única, por esta Sala,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