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compuesto por el magistrado don Juan José González Rivas, presidente; los magistrados don Andrés Ollero Tassara, don Santiago Martínez-Vares García, don Alfredo Montoya Melgar y don Cándido Conde-Pumpido Tourón, en el recurso de amparo 6209-2019, promovido por Euroinversiones Inmobiliarias Costa Sur, S.L., en relación con el proceso de ejecución hipotecaria núm. 348-2018 seguido en el Juzgado de Primera Instancia e Instrucción núm. 4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Euroinversiones Inmobiliarias Costa Sur, S. L., representada por la procuradora de los tribunales doña Blanca Berriatua Horta, con asistencia letrada de don Marcelino Gilabert García, solicita la suspensión del proceso de ejecución hipotecaria núm. 348-2018 tramitado por el Juzgado de Primera Instancia e Instrucción núm. 4 de Lorca. Lo hace por otrosí en el escrito de 30 de octubre de 2019 por el que interpone recurso de amparo contra los autos de 14 de noviembre de 2018 y 17 de septiembre de 2019 recaídos en aquel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348-2018 promovido por la entidad Banco de Sabadell, S.A. frente a la sociedad Euroinversiones Inmobiliarias Costa Sur, S.L., en calidad de prestataria e hipotecante.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Despachada ejecución por auto de 18 de junio de 2018, el servicio de notificaciones de la Fábrica Nacional de Moneda y Timbre remite a la demandante de amparo, a través de la dirección electrónica habilitada, un aviso de notificación. Informa de que la notificación estará disponible desde el 20 de junio hasta el 5 de agosto. El 27 de julio la recurrente de amparo accede efectivamente a la página web y a la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28 de agosto de 2018, la sociedad demandada formula oposición a la ejecución despachada. Por auto de 14 de noviembre del mismo año fue inadmitida por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ejecutada interpone recurso de reposición. Alega que las diligencias de notificación y requerimiento se realizaron el 27 de julio de 2018. La comunicación remitida a través de la dirección electrónica habilitada no sería más que un aviso de puesta a disposición o descarga de su contenido durante un plazo determinado. Entenderlo de otro modo vulneraría el art. 24 CE, además de los arts. 135, 152, 160, 162 de la Ley 1/2000, de 7 de enero,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desestimado por auto de 17 de septiembre de 2019. El órgano judicial reafirma que la notificación se practicó el 20 de junio de 2018, fecha en la que se materializó correctamente su puesta a disposición en aplicación estricta del art. 162 LEC. A efectos de computar el plazo para formular oposición a la ejecución hipotecaria no puede tomarse en consideración la fecha en que el acceso se realizó efectivamente; de lo contrario se estaría dejando al arbitrio de las partes obligadas a utilizar el sistema electrónico de notificaciones el cumplimiento de los términos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 apartados 1 y 2 CE). La interpretación de la legislación procesal,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 solicita por otrosí la suspensión del proceso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marzo de 2020, la Sección Segunda de este tribunal acuerda admitir a trámite el recurso y dirigir comunicación al Juzgado de Primera Instancia e Instrucción núm. 4 de Lorca, a fin de que, en el plazo de diez días, remita certificación o fotocopia adveradas de las actuaciones correspondientes a los autos de ejecución hipotecaria y emplace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y, conforme a lo dispuesto en el art. 56 de la Ley Orgánica del Tribunal Constitucional (LOTC), concede un plazo común de tres días a la parte recurrente y al Ministerio Fiscal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15 de marzo de 2020, la demandante de amparo insiste en que la ejecución se ha despachado con vulneración de su derecho a la tutela judicial efectiva. Añade que la doctrina constitucional ha accedido a suspender ejecuciones hipotecarias en otros casos y que no hacerlo en el presente conduciría a situaciones irreversibles con inevitables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14 de mayo siguiente, el Ministerio Fiscal interesa que se acuerde la anotación preventiva de la demanda en el registro de la propiedad, pese a no haber sido solicitada. Tras exponer la doctrina constitucional sobre suspensión de resoluciones impugnadas, considera que, de no adoptarse la anotación preventiva de la demanda, la tutela que el tribunal pudiera otorgar corre el riesgo de ser incompleta; dejaría abierta la posibilidad de que la finca sea transmitida a un tercero de buena fe mientras se sustancia y resuelve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la parte recurrente en amparo y dirigida frente al procedimiento de ejecución hipotecaria núm. 348-2018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suspensión no podrá pues ocasionar perturbación grave alguna sobre un interés constitucionalmente protegido o los derechos fundamentales o libertades de otra persona. Por esta razón se configura como una medida de carácter excepcional y de aplicación restrictiva (por todos, AATC 117/2015, de 6 de julio, FJ 1, y 59/2017, de 24 de abril, FJ 1).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Debe mostrar que la ejecución del acto recurrido puede privar a la demanda de amparo de su finalidad, provocando que el restablecimiento del recurrente en el derecho constitucional vulnerado sea tardío y convirtiendo en meramente ilusorio y nominal el amparo impetrado [AATC 51/1989, de 30 de enero; 290/1995, de 23 de octubre; 370/1996, de 16 de diciembre; 283/1999, de 29 de noviembre; 90/2014, de 27 de marzo, FJ 1; 190/2015, de 5 de noviembre, FJ 2 a); 59/2017, de 24 de abril; 146/2017, de 13 de noviembre,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la reputa medida idónea para evitar el perjuicio derivado de que la adquisición del bien por tercero lo haga irreivindicable. Esta ha sido la solución acogida recientemente, en los AATC 75/2019 y 76/2019, ambos de 15 de julio, entre muchos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348-2018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