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20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Antonio Narváez Rodríguez y don Ricardo Enríquez Sancho, en el recurso de amparo núm. 6626-2019, promovido por la entidad Mediterráneo Investment Properties.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18 de noviembre de 2019, la entidad Mediterráneo Investment Properties, S.L., representada por el procurador de los tribunales don Pedro Serradilla Serrano y bajo la dirección del letrado don Iván García Navarro, interpuso recurso de amparo frente al auto del Juzgado de Primera Instancia núm. 5 de Roquetas del Mar, de fecha 28 de octubre de 2019, dictado en el procedimiento de ejecución hipotecaria núm. 232-2012, que desestimó el incidente de nulidad de actuaciones que promovió la recurrente por violación del derecho fundamental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Aduce la demandante de amparo que la demanda ejecutiva instada frente a ella por la entidad crediticia Banco Bilbao Vizcaya Argentaria (BBVA), en la que se señalaba como domicilio a efectos de notificaciones el fijado en la escritura de 16 de febrero de 2007 de contrato de préstamo garantizado con hipoteca, obligaba al órgano judicial a cumplir los requisitos de notificación fijados por la doctrina constitucional para garantizar la comunicación personal con el ejecutado, lo que no cumplió el juzgador, causando indefensión contraria al art 24.1 CE al no satisfacerlos en este caso concreto. Subraya que, según esa jurisprudencia, el deber del órgano judicial es extremar la diligencia para la averiguación del paradero o domicilio de los interesados, y que para ello debe utilizar los medios de averiguación que estén razonablemente a su alcance, lo que habría sido desatendido en esta ocasión por el juzgador, quien, de forma inmediata y sin llevar a cabo una mínima diligencia para averiguar un domicilio alternativo al que figuraba en la escritura de préstamo hipotecario, acudió a la notificación edictal.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parecer, la prueba de esa inactividad lesiva imputable al órgano judicial y, en su contraste, la demostración de la diligencia de la parte ejecutada reside en que esta última realizó traslado y cambio domiciliario y lo inscribió en el Registro Mercantil y que comunicó también ese cambio a la Agencia Estatal de la Administración Tributaria (AEAT), por lo que hubiera bastado una simple consulta al punto neutro judicial, al registro mercantil o a la AEAT para conocer el domicilio real de la ejecutada, aquí recurrente, y realizar la notificación de la demanda ejecutiva con carácter previo a la notificación edictal. Por lo demás, añade, el BBVA conocía la existencia de ese cambio domiciliario ya que había remitido a la nueva dirección un burofax en fechas previas a la interposición de la demanda ejecutiva, aunque por ciertas vicisitudes fuera devuelto por dirección insuficiente.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considera vulnerado el art. 24.1 CE, por incumplimiento de lo establecido en los arts. 225 y 227 de la Ley de enjuiciamiento civil (LEC) en relación con lo prescrito en el art. 166 de la misma norma, toda vez que la falta de personación de la recurrente en amparo en el procedimiento ejecutivo no puede estimarse una consecuencia de su falta de diligencia, como sostuvo el juzgador, sino, antes bien, resultado del incumplimiento por parte de este de la doctrina constitucional relativa a la comunicación edictal, que dispone la necesidad de acudir a los registros públicos que pudieran favorecer el conocimiento del domicilio real del destinatario del acto de comunicación y que determina el empleo de los edictos como medida excepcional y subsidiaria.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la demanda de amparo, con base en los argumentos descritos, la declaración de vulneración del derecho fundamental a la tutela judicial efectiva, consagrado en el art. 24.1 CE, restableciéndole en ese derecho con la declaración de la nulidad del auto de fecha 28 de octubre de 2019, objeto de este recurso, y acordando la retroacción de las actuaciones hasta el momento inmediatamente siguiente al de dictarse el auto por el que se despachó ejecución, a fin de que se provea por el juzgado a la notificación de la demanda de ejecución hipotecaria y del requerimiento de pago a la recurrente de amparo en términos respetuosos con su derecho fundamental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solicita por medio de otrosí, como medida cautelar, la suspensión de todas las actuaciones futuras por parte del Juzgado de Primera Instancia núm. 5 de Roquetas de Mar en el procedimiento de ejecución hipotecaria núm. 232-2012, con el fin de evitar los graves perjuicios que podría causar a la demandante de amparo la continuación del procedimiento ejecutivo. En relación con esa pretensión, destaca que, de acuerdo con la jurisprudencia de este Tribunal Constitucional, es procedente acordar la suspensión de aquellas resoluciones judiciales cuya ejecución conlleve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 Solicita el escrito igualmente la anotación preventiva de la demanda de amparo en el Registro de la Propiedad núm. 3 de Roquetas del Mar, con el fin de evitar una posible transmisión del inmueble subastado por parte de la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escrito registrado en este tribunal el día 4 de marzo de 2020, la recurrente en amparo puso de manifiesto que la parte ejecutante había puesto a la venta las viviendas objeto del procedimiento ejecutivo, solicitando de este tribunal que impulsara la petición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junio de 2020, la Sección Cuarta de este tribunal acordó admitir a trámite el recurso de amparo. Por providencia de la misma fecha, la Sección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Evacuó el trámite de alegaciones el Ministerio Fiscal, en escrito registrado el 2 de julio de 2020, oponiéndose a la pretendida suspensión del procedimiento de ejecución hipotecaria, ya que la petición no aparece fundamentada por la recurrente, que se limita, a su parecer, a formular la petición sin explicitar ninguna razón, salvo la mera pérdida de la finalidad del recurso si aquel procedimiento culminase. Interesa alternativamente, por ello, que se acuerde la anotación preventiva de la demanda de amparo en el registro de la propiedad, pues de ese modo se asegura el fiel reflejo de la realidad, ya que se da publicidad frente a terceros de la pendencia del recurso y se asegura el conocimiento que sobre la titularidad del bien puede tener el otorgamiento, en su caso, del amparo, garantizando que el hipotético tercero adquirente quede especialmente protegido por su buena fe en la adquisición.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no formuló alegaciones en este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las medidas cautelares solicitadas por la parte recurrente en amparo en relación con el procedimiento de ejecución hipotecaria núm. 232-2012, seguido en el Juzgado de Primera Instancia núm. 5 de Roquetas del Mar.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56/2013, de 13 de febrero, FJ 2; 152/2013, de 8 de julio, FJ 2; 37/2014, de 10 de febrero,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a la que se ha hecho mención permite concluir, de acuerdo con lo solicitado por el Ministerio Fiscal, que resulta improcedente la suspensión reclamada del procedimiento de ejecución hipotecaria y que, por el contrario, constituye una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parte recurrente se limita a poner de manifiesto, genéricamente, que la eventual adjudicación a terceros del bien inmueble puede hacer perder al recurso de amparo su finalidad, sin añadir indicación alguna sobre la situación y circunstancias de la entidad mercantil recurrente así como sobre las características, destino y estado posesorio de los inmuebles concernidos. En tales circunstancias no es posible afirmar que la continuación del curso del procedimiento judicial, incluso si se produjera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como se anticipó, se reputa medida suficiente e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por ejemplo, en los AATC 106/2017, de 17 de julio; 88/2018, de 17 de septiembre; 2/2019, de 9 de enero; 130/2019, de 28 de octubre, o 178/2019, de 16 de diciembre. 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por el contrario,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232-2012, seguido en el Juzgado de Primera Instancia núm. 5 de Roquetas del Mar.</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