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5128-2019, promovido por la entidad Penrei Inversiones,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septiembre de 2019, la entidad Penrei Inversiones, S.L., representada por la procuradora de los tribunales doña Blanca Berriatua Horta y bajo la dirección de la letrada doña Anju Nirmala Benavent Rodríguez, interpuso recurso de amparo contra los autos de 21 de septiembre de 2018 y de 25 de junio de 2019, dictados por el Juzgado de Primera Instancia e Instrucción núm. 5 de Lorca, en el procedimiento de ejecución hipotecaria núm. 378-2018, por los que, respectivamente, se inadmite por extemporánea la demanda de oposición formulada a la ejecución hipotecaria y se confirma aquella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Juzgado de Primera Instancia e Instrucción núm. 5 de Lorca se sigue procedimiento de ejecución hipotecaria núm. 378-2018 promovido por la entidad Banco de Sabadell, S.A., frente a las sociedades Euroinversiones Inmobiliarias Costa Sur, S.L., en calidad de prestataria e hipotecante, y Penrei Inversiones, S.L., en calidad de titular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Admitida a trámite la demanda y despachada la ejecución, el día 18 de junio de 2018 se notificó y requirió a ambas ejecutadas a través de la sede judicial electrónica, que en fecha 31 de julio de 2018 y 4 de septiembre de 2018 presentaron oposición a la ejecución hipotecaria aduciendo que la comunicación recibida el día 18 de junio no constituía, a su juicio, una notificación o requerimiento en legal forma sino solo un aviso de la puesta a disposición de una notificación electrónica que puede descargarse en un plazo determinado. El auto de 21 de septiembre de 2018 inadmitió la oposición a la ejecución, siendo confirmado en reposición por el auto de 25 de junio de 2019, que dispuso que, al ser indiscutible la condición de personas jurídicas de las recurrentes, “las mismas desde el 1 de enero de 2017 [disposición transitoria cuarta de la Ley 42/2015, de 5 de octubre, de reforma de la Ley de enjuiciamiento civil (LEC)] están obligadas a relacionarse con la administración de justicia por medios electrónicos [art. 14.2 a) de la Ley 39/2015 del procedimiento administrativo común de las administraciones públicas (LPACAP) y art. 273.3 a) de la LEC]”. Y resultando que la notificación “se puso a disposición de las recurrentes en fecha 18 de junio de 2018 no accediendo al contenido hasta el día 25 de julio de 2018 (fuera de los tres días que establece la normativa procesal), presentando los escritos de oposición a la ejecución en fecha 31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se trae,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con cita de la STC 47/2019, de 8 de abril, se queja en su recurso de amparo de la vulneración del art. 24.1 y 2 CE, al no haberle sido notificado con las debidas garantías, sin causar indefensión, el primer acto de comunicación procesal o emplazamiento con ocasión de la demanda de ejecución hipotecaria, otorgándose efecto a la remisión de un correo electrónico que carecería, a su parecer, de los requisitos esenciales para considerarlo un acto de notificación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con la interpretación ofrecida en las resoluciones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de 2020, la Sección Cuarta de este tribunal acordó admitir a trámite el recurso de amparo y dirigir comunicación al Juzgado de Primera Instancia e Instrucción núm. 5 de Lorca, a fin de que, en plazo que no excediera de diez días, emplazase a quienes hubieran sido parte en el proceso del que trae causa el presente recurso de amparo, excepto a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9 de julio de 2020, la parte demandante formuló sus alegaciones, reiterando lo expuesto en el otrosí de su demanda y trascribiendo como fundamento de su pretensión lo expresado en parte en el ATC 58/2018, de 4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15 de julio de 2020, el Ministerio Fiscal se opuso a la pretendida suspensión del procedimiento de ejecución hipotecaria, e interesó que, alternativamente, se acordase la anotación preventiva de la demanda de amparo en el registro de la propiedad. Tras exponer la doctrina de este tribunal sobre suspensión de resoluciones y actos impugnados, aduce que en el presente caso la petición del demandante no se funda en ninguna razón que permita afirmar que la continuación del procedimiento judicial, incluso con desplazamiento posesorio, provoque un perjuicio determinante de la perdida de la finalidad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378-2018,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177/2019, de 16 de diciembre, FJ 2, o, en fecha más próxima, ATC 27/2020, de 24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[entre otros muchos, AATC 190/2015, de 5 de noviembre, FJ 2 a); 59/2017, FJ 1; 147/2017, de 13 de noviembre, FJ 1, y 177/2019, FJ 2, o, recientemente, ATC 38/2020, de 9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(como los más recientes, AATC 282/2014, de 17 de noviembre, FJ 4; 59/2015, de 16 de marzo, FJ 2; 177/2019, FJ 2, o 30/2020, de 24 de febrero,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si se produjera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378-2018,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