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en el recurso de amparo núm. 6035-2018, promovido por Euroinversiones Inmobiliarias Costa Sur, S.L., ha dictado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6035-2018, promovido por Euroinversiones Inmobiliarias Costa Sur, S.L., contra los autos de fecha de 10 de julio de 2018 y de 28 de septiembre de 2018, dictados por el Juzgado de Primera Instancia e Instrucción número 3 de Lorca, en los autos del proceso de ejecución hipotecaria 96-2018. Han intervenido el Ministerio Fiscal y la entidad Pera Assets Designated Activity Company.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noviembre de 2018, la procuradora de los tribunales doña Blanca Berriatua Horta en representación de la mercantil Euroinversiones Inmobiliarias Costa Sur, S. L., y bajo la dirección del letrado don Marcelino Gilabert García, interpuso ante este tribunal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e Instrucción núm. 3 de Lorca se tramita, a instancia de Banco de Sabadell, S.A., frente a las sociedades Euroinversiones Inmobiliarias Costa Sur, S. L., y Penrei Inversiones, S.L., proceso de ejecución hipotecaria núm. 96-2018.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Despachada ejecución por auto de 3 de mayo de 2018, la demandante de amparo fue requerida a través de la sede judicial electrónica, el día 8 de mayo de 2018, con el siguiente contenido: “Ha recibido una notificación del organismo emisor juzgados y tribunales en la dirección electrónica habilitada única del titular Euroinversiones Inmobiliarias Costa Sur, S. L., – NIFB73258006. La notificación estará disponible en su dirección electrónica habilitada única desde el 08-05-2018 hasta el 23-06-2018. Si no procediera a su lectura en el plazo indicado se producirán los efectos correspondientes, según la normativa aplicable. Para que conste como leída, por favor acceda a http://notificaciones.060.es Asunto: JDO. 1 INST. E INSTR. N 3 DE LORCA EJH/00000096/2018”.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05 de julio de 2018 la sociedad Euroinversiones Inmobiliarias Costa Sur, S.L., formuló oposición a la ejecución despachada.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10 de julio de 2018 se acordó su inadmisión por presentación extemporánea, tomando como fecha de notificación el 8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sociedad ejecutada interpuso recurso de reposición en la consideración de que, las diligencias de notificación y requerimiento no habían sido realizadas el día 8 de mayo de 2018 sino el 23 de junio de 2018, y que la comunicación remitida a través de la dirección electrónica habilitada no podía entenderse más que un aviso de puesta a disposición o descarga de su contenido durante un plazo determinado (en el caso desde 28 de abril al 13 de mayo de 2018). Entenderlo de otro modo, además de infringir los arts. 135, 152, 160 y 162 de la Ley de enjuiciamiento civil (LEC), vulneraba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fue resuelto por auto desestimatorio de 28 de septiembre de 2018, al entender el órgano judicial que dada su condición de persona jurídica, tiene obligación de relacionarse con la administración de justicia por medios electrónicos, de conformidad con lo previsto en la disposición transitoria cuarta de la Ley 42/2015, de 5 de octubre, de reforma de la Ley 1/2000, de 7 de enero, de enjuiciamiento civil, así como en los arts. 14.2 Ley 39/2015 y del art. 373.3 LEC. Sostiene igualmente que la ejecutada y determina que la recurrente yerra en el plazo en el que puede acceder a su contenido a efectos de la práctica de la notificación, “el cual es de diez días naturales desde el puesta a su disposición y ello por imperativo del art. 43 de la citada Ley 39/2015, de 1 de octubre, del procedimiento administrativo común de las administraciones públicas” que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los autos de 10 de julio de 2018 y de 28 de septiembre de 2018, impugnados la vulneración del derecho fundamental de la sociedad recurrente a la tutela judicial efectiva y a un proceso con garantías y sin indefensión (art. 24, apartados 1 y 2 CE). La interpretación de la legislación procesal habría privado injustamente a la recurrente de su derecho a formular oposición a la ejecución hipotecaria. Tratándose de un primer emplazamiento, debió realizarse del modo tradicional (art. 273 LEC). El órgano judicial habría incumplido su obligación de asegurar, no ya la legalidad formal de los actos de comunicación, sino el cumplimiento efectivo de su finalidad constitucional. La demandante de amparo solicita, en consecuencia, la anulación de las resoluciones indicadas, así como la retroacción al momento procesal oportuno, previo al dictado del auto de 10 de julio de 2018, a fin de que el juzgado admita a trámite su oposición al despacho de ejecución. El recurso pide también por otrosí la suspensión del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octubre de 2019, la Sección Segunda de este tribunal acuerda admitir a trámite el recurso, apreciando que reviste especial trascendencia constitucional [art. 50.1 Ley Orgánica del Tribunal Constitucional (LOTC)], toda vez que plantea un problema o afecta a una faceta de un derecho fundamental sobre el que no hay doctrina de este tribunal [STC 155/2009, FJ 2 a)]. Acuerda igualmente dirigir atenta comunicación al Juzgado de Primera Instancia e Instrucción núm. 3 de Lorca, a fin de que, en el plazo de diez días, remita certificación o fotocopia adverada de las actuaciones correspondientes a la ejecución hipotecaria núm. 96-2018 y emplace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acuerda formar la oportuna pieza para la tramitación del incidente de suspensión. Seguidos los trámites correspondientes, la Sala Segunda de este tribunal, mediante ATC 151/2019, de 25 de noviembre, deniega la suspensión cautelar solicitada y ordena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3 de diciembre de 2019, la entidad Pera Assets Designated Activity Company, hace constar que la entidad Banco Sabadell, S.A., le ha cedido el crédito hipotecario y que, en virtud del régimen de sucesión procesal, las actuaciones deben continuarse con ella. Solicita que se la tenga por parte en tiempo y forma y que se entiendan con ella las diligencias sucesivas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17 de febrero de 2020, el secretario de justicia de la Sala Segunda tiene por personada y parte en el presente proceso a la mercantil Pera Assets Designated Activity Company y, conforme al art. 52 LOTC, da un plazo de veinte días al Ministerio Fiscal y a las partes para la vista del expediente y la formulación de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19 de marzo de 2020, tiene entrada en el registro de este tribunal escrito de la recurrente en amparo, que ratifica las alegaciones expuestas en la demanda y transcribe en parte los fundamentos jurídicos de la STC 47/2019,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este tribunal con fecha de 18 de marzo de 2020. Solicita el otorgamiento del amparo, el reconocimiento de la vulneración del derecho de la recurrente a la tutela judicial efectiva sin indefensión y la nulidad de todo lo actuado desde la notificación electrónica del auto de despacho de la ejecución, con retroacción de las actuaciones al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si bien a este tribunal no le corresponde determinar los medios de comunicación procesal admitidos, lo que sí debe comprobar es que ofrezcan las garantías suficientes para acreditar que cumplen su cometido, que no es otra que la de procurar el acceso de las partes al procedimiento (STC 6/2019, de 17 de enero). Tras analizar las distintas normas procesales en materia de actos de comunicación (arts. 553, 135, 152.2, 155, 156, 158, 163 y 273 todos ellas de la Ley de enjuiciamiento civil), concluye que las comunicaciones y aportaciones de documentos, tanto desde el órgano judicial hacia las partes como a la inversa, se realiza como una obligación para algunas partes como los profesionales de la justicia y las personas jurídicas, y como un derecho para los que pudiendo optar lo hacen así. Sin embargo, esa obligación no es tan radical que no admita excepciones, la más relevante de las cuales es que se trate de la primera notificación, pues en este caso lo que está en juego es la más elemental de las manifestaciones de la tutela judicial efectiva, y en este caso, el legislador no ha sido ajeno a esta importancia y ha establecido la excepción, que se traduce en la obligatoriedad de la notificación personal en el domicilio, y respecto a las copias, su aporte en papel (STC 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acuerdo con la STC 47/2019, el art. 155 LEC contempla una especialidad: cuando se trata del primer emplazamiento o citación del demandado, los actos de comunicación deben realizarse mediante su remisión al domicilio de los litigantes. En esta norma se establece una excepción al régimen general de las notificaciones telemáticas, sin distinguir entre obligados y optantes. Esta interpretación se correspondería con el apartado segundo del art. 273.4 LEC, que especifica que “únicamente los escritos y documentos que se presenten vía telemática o electrónica que den lugar al primer emplazamiento, citación o requerimiento del demandado o ejecutado, se deberán aportar en soporte papel, en los tres días siguientes, tantas copias literales cuantas sean las otras partes”. Como indica la STC 47/2019, FJ 4, la finalidad que racionalmente se infiere de ese mandato no es otra que la de trasladar al referido demandado las copias presentadas en papel. A la vista de tales preceptos y de la referida STC 47/2019, el fiscal concluye que el juzgado no debió prescindir de la notificación personal, por lo que habría vulnerado el art. 24.1 CE. En tal sentido, parece claro que el juez erró al desconocer la aplicabilidad de los arts. 155 y 274 LEC al caso concreto, lo cual sería disculpable si al haber optado por esa inaplicación hubiera sido para elegir otras normas que hubieran garantizado, con más vehemencia, el derecho a la tutela judicial efectiva sin indefensión porque aseguraran a la parte llamada al procedimiento un mejor y más seguro conocimiento de la demanda que contra ella se dirigía, es decir, si hubiere optado por el mecanismo de notificación que mejor asegurara el resultado, pero justamente hizo lo contrario: optar por dar validez a la notificación en la dirección electrónica habilitada sin tener ninguna constatación de que la misma hubiera llegado a su destinatario.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—como se ha dicho— interesa el otorgamiento del amparo y la retroacción de las actuaciones al momento inmediatamente anterior a la notificación telemática para que se le dé a la recurrente la posibilidad de contestar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septiembre de 2020 se señala para votación y fallo del presente recurso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impugnación de los autos de 10 de julio de 2018 y 28 de septiembre de 2018 dictados por el Juzgado de Primera Instancia núm. 3 de Lorca en el proceso de ejecución hipotecaria núm. 96-2018. Según la entidad mercantil demandante de amparo, una interpretación irrazonable de la legislación procesal le habría privado injustamente de su derecho a formular oposición a la ejecución hipotecaria. Tratándose de un primer emplazamiento, el requerimiento de pago y alternativo derecho a oponerse a la demanda ejecutiva debió realizarse de manera personal en su domicilio social con entrega en papel de la documentación, y no mediante el servicio de notificaciones electrónicas y de dirección electrónica habilitada de la Fábrica Nacional de Moneda y Timbre.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habría incumplido su obligación de asegurar, no ya la legalidad formal de los actos de comunicación, sino el cumplimiento efectivo de su finalidad constitucional. Todo ello constituiría una vulneración del derecho fundamental de la demandante de amparo a la tutela judicial efectiva sin indefensión (art. 24 CE). Solicita, en consecuencia, la anulación de las resoluciones indicadas, así como la retroacción al momento procesal oportuno, previo al dictado del auto de 10 de julio de 2018, a fin de que el juzgado admita a trámite su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 la demanda de amparo y la nulidad de todo lo actuado desde la notificación electrónica del auto de despacho de la ejecución con retroacción de las actuaciones al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40/2020, de 27 de febrero, del Pleno, ha estimado un recurso de amparo basado en los mismos motivos, interpuesto por la misma entidad mercantil y dirigido contra autos de contenido muy similar de otro juzgado de primera instancia e instrucción de Lorca. Corresponde, en consecuencia, dar por reproducidos los fundamentos jurídicos de aquella sentencia y, en consecuencia, declarar que los autos de 10 de julio de 2018 y 28 de septiembre de 2018 del Juzgado de Primera Instancia núm. 3 de Lorca han vulnerado el derecho a la tutela judicial efectiva de la recurrente en amparo (art. 24.1 CE). Como en aquel caso, la estimación del amparo trae consigo la nulidad de los autos recurridos, así como de todo lo actuado en el procedimiento hipotecario a quo desde el momento en que se proveyó al emplazamiento de la entidad mercantil solicitante de amparo a través de la dirección electrónica habilitada.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mercantil Euroinversiones Inmobiliarias Costa Sur, S. 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los autos de 10 de julio de 2018 y 28 de septiembre de 2018 dictados por el Juzgado de Primera Instancia núm. 3 de Lorca en el proceso de ejecución hipotecaria núm. 96-2018,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ejecutor de forma que resulte respetuoso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