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1594-2019, promovido por Euroinversiones Inmobiliarias Costa Sur, S.L., contra el auto del Juzgado de Primera Instancia e Instrucción núm. 6 de Lorca de 22 de enero de 2019, por el que se desestima el recurso de reposición interpuesto contra el auto de 19 de septiembre de 2018, por el que se inadmite el escrito de oposición a la ejecución hipotecaria en el procedimiento de ejecución hipotecaria núm. 65-2018. Ha comparecido la entidad Pera Assets Designated Activity Company.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entidad Euroinversiones Inmobiliarias Costa Sur, S.L., representada por la procuradora de los tribunales doña Blanca Berriatua Horta, y bajo la asistencia del letrado don Marcelino Gilabert García, interpuso recurso de amparo contra las resoluciones judiciales que se mencionan en el encabezamiento de esta sentencia mediante escrito registrado en este tribunal el 12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promovió un procedimiento de ejecución hipotecaria frente a las sociedades Euroinversiones Inmobiliarias Costa Sur, S.L., en calidad de prestataria e hipotecante, y Penrei Inversiones, S.L., en calidad de titular registral de un derecho de uso y disfrute sobre el inmueble hipotecado, que fue tramitado por el Juzgado de Primera Instancia e Instrucción núm. 6 de Lorca con el núm. 65-2018.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acordó despachar ejecución mediante auto de 20 de junio de 2018 frente a las sociedades demandadas. El citado auto y el decreto de la misma fecha que le sigue, acordando las medidas de ejecución y el requerimiento de pago al ejecutado, fueron comunicados a las citadas entidades a través de la sede judicial electrónica el día 21 de junio de 2018; fecha en la que se recibió en la dirección electrónica habilitada de ambas entidades un mensaje del servicio de notificaciones electrónicas de la Fábrica Nacional de Moneda y Timbre con el aviso de que hasta el 6 de agosto siguiente tendrían disponible una notificación del juzgado de Lorca relacionada con el procedimiento EHJ 065-2018, a la que, para que constase como leída, debía acceder a través de un enlace adjunto. La ejecutada accedió a dicho enlace el 31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entidad demandante de amparo presentó el 28 de agosto de 2018 escrito de oposición a la ejecución despachada. Por auto de 19 de septiembre de 2018, el órgano judicial acordó la inadmisión de la oposición formulada por entender extemporánea su presentación, tras tomar como fecha de emplazamiento el 21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entidad demandante de amparo interpuso recurso de reposición, alegando que la notificación y requerimiento no habían de entenderse realizadas el 21 de junio de 2018, sino el 31 de julio siguiente, y que la comunicación remitida a través de la dirección electrónica habilitada no constituye sino un aviso de puesta a disposición para descarga de su contenido durante un plazo determinado; poniendo de manifiesto que, entenderlo de otro modo, además de infringir los arts. 135, 152, 160 y 162 de la Ley de enjuiciamiento civil (LEC), vulneraría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desestimado por auto de 22 de enero de 2019 con fundamento en que las entidades ejecutadas tienen la condición de persona jurídica y, por tanto, están obligadas a relacionarse con la administración de justicia por medios electrónicos, de conformidad con lo previsto en la disposición transitoria cuarta de la Ley 42/2015, de 5 de octubre, de reforma de la Ley de enjuiciamiento civil, así como en los arts. 14.2 a) de la Ley 39/2015 del procedimiento administrativo común de las administraciones públicas, y 273.3 LEC. Según el auto, el art. 162.2 LEC impone que la comunicación electrónica surte efecto trascurridos tres días desde que fue efectuada sin que el destinatario acceda a su contenido. Concluye que, al constar que la notificación se puso a disposición de las ejecutadas el 21 de junio de 2018, la presentación del escrito de oposición el 28 de agosto de 2018 se produjo fuera del plazo legalmente establecido en el art. 556.1 LEC, esto es más allá de los diez días siguientes al de la notificación del auto despachando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las resoluciones judiciales impugnadas han vulnerado su derecho a la tutela judicial efectiva sin indefensión (art. 24.1 CE), al haberse efectuado su emplazamiento como ejecutada a través de un correo electrónico remitido por un servicio de notificaciones electrónicas y no mediante entrega de la documentación correspondiente en papel en la sede de su domicilio social; y ello pese a que esa comunicación fue el primer emplazamiento en la causa. Además, señala que, en todo caso, siguió las indicaciones que le facilitó la comunicación electrónica, de manera que accedió al contenido de la notificación el último día fijado; fecha que, sin embargo, el órgano judicial ha considerado fuera de plazo, por lo que acordó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insiste en que, por ser una persona jurídica, si bien está obligada a relacionarse con la administración de justicia a través de medios electrónicos, según establece el art. 273 LEC; sin embargo, cuando se trata del primer emplazamiento y, por tanto, todavía se no ha tenido ninguna relación con el juzgado correspondiente en ese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establece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además, expone que el auto de 22 de enero de 2019 fundamenta su decisión en la Ley del procedimiento administrativo común, norma que es “inaplicable al ámbito procesal civil, puesto que además de existir normas concretas al respecto, no se dan en uno y otro ámbito las mismas garantías procedimentales”. Precisa que en materia de notificación de actos procesales resulta aplicable tanto la Ley de enjuiciamiento civil como el art. 24 CE, que reconoce el derecho a la tutela judicial efectiva. Alega finalmente que se ha producido también una vulneración del derecho a un proceso con todas las garantías (art. 24.2 CE), en las vertientes del derecho a la defensa contradictoria y del derecho a la asistencia letrada, las cuales permiten en todos los órdenes jurisdiccionales evitar desequilibrios en la posición procesal de las partes, sin limitaciones a su defensa que pudieran en caso contrario ocasionar indefensión a alguna de ellas. Afirma también que el auto de 22 de enero de 2019 “huye de este tipo de consideraciones” al aplicar una normativa administrativa ajena al ámbito procesal y prescindir, a su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que se estime el recurso del amparo, acordando la nulidad de las resoluciones judiciales impugnadas y se ordene reponer las actuaciones al momento previo al dictado de la primera de las resoluciones judiciales impugnadas, a fin de que el juzgado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secretaria de justicia de la Sección Tercera de este tribunal, por diligencia de ordenación de 3 de julio de 2019, acordó requerir al órgano judicial para que remitiera certificación acreditativa sobre si el auto de 22 de enero de 2019 había sido recurrido por la demandante de amparo. El 17 de septiembre de 2019 se recibió certificación indicativa de que no fue presentado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por providencia de 16 de diciembre de 2019, acordó admitir a trámite el recurso de amparo apreciando que concurre en el mismo una especial trascendencia constitucional [art. 50.1 de la Ley Orgánica del Tribunal Constitucional (LOTC)] porque plantea “un problema o afecta a una faceta de un derecho fundamental sobre el que no hay doctrina de este tribunal [STC 155/2009, FJ 2 a)], y porque puede dar ocasión para aclarar o cambiar su doctrina, como consecuencia de cambios normativos relevantes para la configuración del contenido del derecho fundamental [STC 155/2009, FJ 2 b)]”; dirigir atenta comunicación al órgano judicial para remisión de certificación o fotocopia adverada de las actuaciones y emplazamiento de quienes hubieran sido parte en el procedimiento para que puedan comparecen en el recurso de amparo; y la formación de la pieza separada de suspensión, que fue resuelta por ATC 4/2020, de 27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Pera Assets Designated Activity Company, representada por la procuradora de los tribunales doña Blanca María Grande Pesquero y bajo la asistencia del letrado don Alejandro Ingram Solís, por escrito registrado el 21 de enero de 2020, manifestó ser cesionaria a título oneroso de determinados créditos hipotecarios de los que era titular Banco de Sabadell, S.A. (entre ellos el que grava la finca hipotecada que es objeto del proceso judicial previo), así como haber sido emplazada por el Juzgado de Primera Instancia e Instrucción núm. 6 de Lorca para comparecer ante este tribunal,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de este tribunal, por providencia de 9 de marzo de 2020, tuvo por personada y parte a la procuradora doña Blanca María Grande Pesquero en la representación acreditada y acordó dar vista de las actuaciones a las partes personadas y al Ministerio Fiscal, por plazo común de veinte días, a fin de que, conforme con lo previsto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3 de julio de 2020, presentó sus alegaciones interesando la estimación del recurso de amparo y, en consecuencia, que se declare vulnerado el derecho a la tutela judicial efectiva sin indefensión de la demandante y la nulidad de todo lo actuado desde la notificación electrónica del auto que despachó la ejecución solicitada, con retroacción de las actuaciones al momento inmediatamente anterior a dicha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la jurisprudencia del Tribunal Constitucional sobre los actos de comunicación procesal, con expresa referencia a las SSTC 6/2019, de 17 de enero y 47/2019, de 8 de abril, concluye que tanto por haber optado el órgano judicial por la notificación telemática en vez de la personal en el domicilio de la demandada, como por la forma de computar el plazo para formular oposición frente a la ejecución ya despachada, ha resultado infringido el derecho a la tutela judicial sin indefensión de la demandante, ya que, aunque en la regulación procesal conviven las notificaciones personales con las telemáticas, éstas últimas mantienen una excepción general cuando se trata del primer emplazamiento. De ese modo, la aplicación conjunta de lo establecido en los arts. 135, 152.2 y 155 LEC debió llevar al órgano judicial a aplicar la última de estas previsiones legales, conforme a la cual “cuando se trata del primer emplazamiento o citación del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presentó sus alegaciones el 6 de julio de 2020, remitiéndose a lo expuesto en su demanda, haciendo mención adicional a los pronunciamientos de la STC 47/2019, de 8 de abril, a propósito del uso indebido de la dirección electrónica habilitada para realizar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jurisprudencia constitucional establecida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27 de febrero, FJ 3, ha abordado el examen de la misma queja de fondo planteada en este recurso, en la que se aduce también la vulneración del art. 24.1 CE como consecuencia de la inadmisión por extemporáneo del escrito de oposición a la ejecución. Se advierte en ella que para su solución resulta de aplicación la doctrina de este tribunal plasmada en las SSTC 6/2019, de 17 de enero, FJ 4 a), (iii), dictada al resolver una cuestión de inconstitucionalidad planteada en relación con el último inciso del artículo 152.2 LEC, y 47/2019, de 8 de abril, FJ 4 a), recaída en proceso de amparo, en relación con la garantía de emplazamiento personal inicial del demandado o ejecutado en los procesos regidos en esta materia por la Ley de enjuiciamiento civil (directa o supletoriamente). En ellas se ha concluido que no procede efectuar por medios electrónicos la citación o emplazamiento del demandado aún no personado en el procedimiento, dado que esos actos deben realizarse por remisión a su domicilio, y que dicha forma de comunicación no puede ser sustituida por otra electrónica, como ocurre con la efectuada a través de la dirección electrónica habilitada. Tal emplazamiento personal se exige en el art. 155.1 LEC, exigencia de la que es complemento la regla establecida en el art. 273.4 LEC sobre la presentación en papel de las copias de los escritos y documentos que sustenten la acción.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concluir ahora, al igual que se hizo en la STC 40/2020, FJ 4, que las dos resoluciones judiciales impugnadas vulneraron el derecho a la tutela judicial efectiva sin indefensión de la recurrente, por no proceder a su emplazamiento personal en el proceso a efectos de requerirla de pago o, alternativamente, permitirle presentar su oposición a la ejecución. Por el contrario, el órgano judicial optó por un emplazamiento electrónico a través del servicio de notificaciones electrónicas y dirección electrónica habilitada de la Fábrica Nacional de Moneda y Timbre. Por lo demás, el plazo para presentar el escrito de oposición fue computado invocando normas del procedimiento administrativo común que son ajenas al ámbito jurisdiccional en el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presente recurso de amparo ha de ser estimado en aplicación de la doctrina fijada en las SSTC 47/2019 y 40/2020 y declararse la vulneración del derecho a la tutela judicial efectiva sin indefensión de la entidad demandante (art. 24.1 CE). De conformidad con lo establecido en el art. 55 LOTC, procede declarar la nulidad de los autos impugnados del Juzgado de Primera Instancia e Instrucción núm. 6 de Lorca, así como de todo lo actuado en el procedimiento de ejecución hipotecaria desde que se proveyó a su emplazamiento a través de la dirección electrónica habilitada, retrotrayendo las actuaciones hasta este momento a fin de que el juzgado proceda a efectuar dicho emplazamiento de manera respetuosa con el derecho fundamental de la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 19 de septiembre de 2018 y 22 de enero de 2019, dictados por el Juzgado de Primera Instancia e Instrucción núm. 6 de Lorca en el proceso de ejecución hipotecaria núm. 65-2018, así como de las actuaciones realizadas a partir del emplazamiento de la entidad recurrente a través de la dirección electrónica habilitada, en lo que respecta exclusivamente a la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demandante de amparo, debiendo llevarse a cabo de nuevo este último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