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3562-2019, promovido por Euroinversiones Inmobiliarias Costa Sur, S.L., representada por la procuradora de los tribunales doña Blanca Berriatua Horta y bajo la dirección del letrado don Marcelino Gilabert García, contra los autos de 21 de septiembre de 2018 y de 22 de abril de 2019, dictados por el Juzgado de Primera Instancia e Instrucción núm. 5 de Lorca, en el procedimiento de ejecución hipotecaria núm. 291-2018. Han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junio de 2019, la entidad Euroinversiones Inmobiliarias Costa Sur, S.L., representada por la procuradora de los tribunales doña Blanca Berriatua Horta y bajo la dirección del letrado don Marcelino Gilabert García, interpuso recurso de amparo contra los autos de 21 de septiembre de 2018 y de 22 de abril de 2019, dictados por el Juzgado de Primera Instancia e Instrucción núm. 5 de Lorca, en el procedimiento de ejecución hipotecaria núm. 291-2018, por los que, respectivamente, se inadmitó por extemporánea la demanda de oposición formulada y se confirmó esta última decisión, tras desestimarse el recurso de reposición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291-2018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43.290 del Registro de la Propiedad núm. 3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9 de mayo de 2018 se acordó despachar ejecución frente a las sociedades demandadas por la cantidad de 2248,32 € de principal y 2400 € presupuestados inicialmente para intereses y costas. El servicio de notificaciones de la Fábrica Nacional de Moneda y Timbre remitió a la demandante de amparo, a través de la dirección electrónica habilitada, un aviso de notificación del citado auto y el decreto de la misma fecha que le fueron comunicados por dicho medio el 11 de mayo de 2018. Informa que la notificación estará disponible hasta el 26 de junio, día en el que la recurrente de amparo accede efectivamente a la página web y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10 de julio de 2018. Por auto de 21 de septiembre de 2018 se acordó su inadmisión por considerar la pretensión extemporánea, tomando como fecha de notificación el 11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11 de mayo de 2018, sino el 26 de junio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11 de mayo hasta el 26 de junio de 2018), pues entenderlo de otro modo, además de infringir los arts. 135, 152, 160, 162 de la Ley de enjuiciamiento civil (LEC), vulnera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el recurso de reposición fue desestimado por auto de 22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273.3 LEC. Según el auto, en el presente caso “consta que la notificación se puso a disposición de las recurrentes en fecha 11 de mayo de 2018, no accediendo al contenido hasta el día 26 de junio de 2018 (fuera de los tres días que establece la normativa procesal), presentando el escrito de oposición a la ejecución en fecha 10 de julio de 2018,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 tal y como reconoce la sentencia 37/1984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enero de 2020 la Sección Segunda de este tribunal acordó admitir a trámite el recurso de amparo y dirigir comunicación al Juzgado de Primera Instancia e Instrucción núm. 5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Seguidos los trámites correspondientes, la Sala Primera de este tribunal, mediante ATC 28/2020, de 24 de febrero,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17 de julio de 2020, el Ministerio Fiscal presentó sus escritos de alegaciones en los que termina solicitando que se estime el recurso, se declare vulnerado el derecho a la tutela judicial efectiva sin indefensión (at. 24.1 CE) de la demandante, se declare la nulidad de todo lo actuado desde la notificación efectuada electrónicamente del auto despachando ejecución, y se ordene retrotraer las actuaciones al momento inmediatamente anterior a dicha notificación para que se dé a la recurrente posibilidad de formular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las partes recurrentes, argumenta el fiscal ante el Tribunal Constitucional que las resoluciones judiciales impugnadas vulneran el derecho a la tutela judicial efectiva (art. 24.1 CE) de la demandante de amparo. Con cita de la STC 40/2020, cuyo contenido es parcialmente trascrito, efectúa un exhaustivo repaso por la doctrina del Tribunal Constitucional sobre los actos de comunicación procesal con expresa referencia a las SSTC 6/2019, de 17 de enero; 32/2019, de 28 de febrero; 47/2019, de 8 de abril; 19/2020, de 10 de febrero, y 43/2020, de 9 de marzo, para concluir solicitando el otorgamiento del amparo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julio de 2020 Euroinversiones Inmobiliarias Costa Sur, S.L., por medio de su representación procesal, presentó escrito en el que además de remitirse a las alegaciones formuladas en el recurso de amparo presentado y reiterar las pretensiones en el mismo formuladas, reproduce parte de la fundamentación de la STC 40/2020,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2020,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21 de septiembre de 2018 y de 22 de abril de 2019, dictados por el Juzgado de Primera Instancia e Instrucción núm. 5 de Lorca, en el procedimiento de ejecución hipotecaria núm. 291-2018. 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21 de septiembre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del Pleno del tribunal, estimó un recurso de amparo basado en los mismos motivos, interpuesto por la misma entidad mercantil y dirigido contra autos de contenido muy similar de otro juzgado de Lorca. Corresponde, en consecuencia, dar por reproducidos los fundamentos jurídicos de aquella sentencia y declarar por ello que los autos de 21 de septiembre de 2018 y 22 de abril de 2019 del Juzgado de Primera Instancia e Instrucción núm. 5 de Lorca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21 de septiembre de 2018 y 22 de abril de 2019 dictados por el Juzgado de Primera Instancia e Instrucción núm. 5 de Lorca en el proceso de ejecución hipotecaria núm. 291-2018,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referido juzgado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