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18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7501-2019, promovido por la entidad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diciembre de 2019, la entidad Penrei Inversiones, S.L., representada por la procuradora de los tribunales doña Blanca Berriatua Horta y bajo la dirección de la letrada Dña. Anju Nirmala Benavent Rodríguez, interpuso recurso de amparo contra los autos de 27 de noviembre de 2018 y de 30 de octubre de 2019, dictados por el Juzgado de Primera Instancia e Instrucción núm. 4 de Lorca, en el procedimiento de ejecución hipotecaria núm. 372-2018,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372-2018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43.317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27 de junio de 2018 se acordó despachar ejecución frente las sociedades demandadas por la cantidad de 8877,50 € de principal y 4510 €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29 de junio de 2018. En dicha comunicación se informa que la notificación estará disponible hasta el 31 de agosto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Penrei Inversiones, S.L., presentó escrito de oposición a la ejecución despachada con fecha 31 de agosto de 2018. Por auto de 27 de noviembre de 2018 se acordó su inadmisión por considerar la pretensión extemporánea, tomando como fecha de notificación el 29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29 de junio de 2018, sino el 3 de agosto, la fecha en que accedió a la web y procedió a su descarga, y que la comunicación remitida a través de la dirección electrónica habilitada no puede entenderse más que un aviso de puesta a disposición o descarga de su contenido durante un plazo determinado (en el caso desde el 29 de junio hasta el 31 de agosto de 2018), pues entenderlo de otro modo, además de infringir los arts. 135, 152, 160, y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30 de octubre de 2019. Según esta resolución, la recurrente tiene la condición de persona jurídica y, por tanto, está obligada a relacionarse con la administración de justicia por medios electrónicos. “Así, pese a las alegaciones del recurrente que pretende mantener que el escrito de oposición fue presentado en plazo para ello por entender que el auto despachando la ejecución y el requerimiento efectuado debe entenderse notificado en fecha 3 de agosto de 2018, en la que se accedió efectivamente a las citadas resoluciones, lo cierto es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 Justifica la especial trascendencia constitucional aludiendo a la novedosa implantación de procesos de notificación por medios electrónicos en el ámbito de la jurisdicción civil en relación con las exigencias procesales derivadas de la regulación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junio de 2020 la Sección Segunda de este tribunal acordó no admitir a trámite el recurso de amparo por no apreciar en el mismo la especial trascendencia constitucional que, como condición para su admisión, requiere el art. 50.1.b) de la Ley Orgánica del Tribunal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con fecha 14 de julio de 2020, interpuso recurso de súplica ex art. 50.3 LOTC contra la providencia de 15 de junio de 2020, en el que interesa que se deje sin efecto la providencia indicada, dictándose otra en su lugar admitiendo el recurso de amparo. El Ministerio Fiscal argumenta en su recurso que el contenido de la demanda es idéntico al de otras muchas interpuestas por la misma demandante o por Euroinversiones Inmobiliarias Costa Sur, S.L., contra resoluciones idénticas de diversos juzgados de primera instancia e instrucción de Lorca en que las demandantes son ejecutadas y en los que se alegaba como motivo de especial trascendencia el mismo que el aducido en la presente demanda, siendo tales demandas de amparo admitidas al apreciarse su especial trascendencia constitucional, habiéndose resuelto varios de dichos recursos estimando la demanda y acordado la nulidad de las resoluciones objeto de amparo. Afirma que desde la sentencia del Pleno 40/2020, de 27 de febrero, se han ido sucediendo múltiples pronunciamientos en igual sentido. Indica que existen, con posterioridad a la interposición de la presente demanda, recursos de amparo que han sido admitidos por la Sala Primera y Segunda del Tribunal Constitucional con un contenido sustancialmente idéntico al de la presente demanda, lo que ocasiona una contradicción lesiva de la seguridad jurídica y, sobre todo, en el que la vulneración del derecho alegado podría adquirir una especial intensidad al haberse estimado a fecha de hoy muchas de las admitidas y rechazarse a limine las inadmitidas. Afirma la conveniencia de llegar a una solución común y homogénea de manera que la especial trascendencia constitucional pudiera quedar integrada, ante la particular situación producida en este caso, por la superior defensa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15 de julio de 2020, se acordó dar traslado del recurso a la representación del recurrente y concederle un plazo común de tres días a fin de que alegue lo que estime pertinente (art. 93.2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formuló alegaciones mediante escrito registrado el 22 de julio de 2020,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de súplica interpuesto por el Ministerio Fiscal y dejar sin efecto, en consecuencia la providencia de esta Sección de 15 de junio de 2020 dictándose otra en su lugar por la que se acuerde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para dar respuesta a algunos argumentos utilizados por las partes, que como ya se ha afirmado por este tribunal, tras la reforma llevada a cabo por Ley Orgánica 6/2007, de 24 de mayo,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la que el recurso estaba orientado primordialmente a reparar las lesiones causadas en los derechos fundamentales y libertades públicas del demandante susceptibles de amparo (por todas, STC 208/2015, de 5 de octubre, FJ 5). Por ello la mera admisión de otros recursos de amparo idénticos al actual, presentados por el recurrente de amparo o por la otra parte ejecutada en los procedimientos de ejecución hipotecaria seguidos ante los juzgados de primera instancia e instrucción de Lorca, e incluso, el hecho de que se hayan dictado numerosas sentencias desde la STC 40/2020, estimando las demandas y reconociendo la existencia de la vulneración del derecho fundamental invocado, no es condición suficiente para 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debe indicarse, siguiendo la línea argumental del Ministerio Fiscal, que las mercantiles referidas —Euroinversiones Inmobiliarias Costa Sur, S.L., y Penrei Inversiones, S.L.,— en relación con las resoluciones dictadas por diversos juzgados de primera instancia e instrucción de Lorca, en otros tantos procedimientos de ejecución hipotecaria, han interpuesto desde el año 2018 hasta la fecha, aproximadamente un centenar de recursos de amparo, en los que se cuestionaba desde el prisma del derecho a la tutela judicial efectiva el emplazamiento efectuado mediante la utilización de la dirección electrónica habilitada. Los motivos alegados por las sociedades recurrentes para sustentar la especial trascendencia constitucional guardan sustancial identidad con el que fue considerado en la originaria STC 47/2019, de 8 de abril [“Boletin Oficial del Estado” (“BOE”) núm. 116, de 15 de mayo de 2019] —en la que se examinó por vez primera como ratio decidendi la problemática constitucional del emplazamiento mediante medios electrónicos— y en las posteriores SSTC 102/2019, de 16 septiembre; 122/2019, de 28 de octubre; 129/2019, de 11 de noviembre, y 150/2019,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sentido apuntado por el Ministerio Fiscal, debe destacarse por una parte que no fue hasta que se dicta la STC 40/2020, de 27 de febrero, cuando se consideró aplicable la doctrina constitucional asentada en la STC 47/2019, de 27 de febrero (“BOE” núm. 83, de 26 de marzo de 2019) al primero del centenar de recursos de amparo interpuestos por los ejecutados —en aquél caso por Euroinversiones Inmobiliarias Costa Sur, S.L.,— y desde entonces hasta la fecha, se han dictado en relación con las mismas mercantiles las SSTC 70,73 y 75 a 77/2020, de 29 de junio y las SSTC 92 a 94/2020, de 20 de julio, todas ellas estimando recursos de amparo interpuestos con anterioridad a la fecha de interposición del presente, con cita de la STC 40/2020. Y por otra parte, como con acierto indica también el Ministerio Fiscal, con posterioridad a la inadmisión del presente recurso de amparo han sido admitidos —en concreto por providencia de 20 de julio de 2020— los recursos de amparo núms. 7526-2019 y 691-2020 respectivamente, que como puede apreciarse han sido interpuestos con posterioridad a la presentación del presente recurso de amparo (registrado con el núm. 7501-2019), e incluso con anterioridad a dichas fechas —por providencia de 9 de marzo de 2020— fue admitido el recurso de amparo núm. 7505-2019, también interpuesto con posterioridad.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práctica totalidad de los casos se ha apreciado como motivo de especial trascendencia constitucional [art. 50.1 de la Ley Orgánica del Tribunal Constitucional (LOTC)], que “el recurso puede dar ocasión al tribunal para aclarar o cambiar su doctrina, como consecuencia de cambios normativos relevantes para la configuración del contenido del derecho fundamental [STC 155/2009, FJ 2, b)]”, sin que pueda afirmarse, al no constar la fecha de interposición del recurso de reposición, que el recurrente de amparo pudiera conocer y en consecuencia hacer valer la doctrina sentada en la STC 47/2019. Desde luego —dada su fecha de publicación—, ni el recurrente ni el órgano judicial pudieron conocer la específica aplicación de dicha doctrina a la serie de recursos de amparo interpuestos por los recurrentes. Tal circunstancia, unida a que la STC 40/2020 todavía no se había dictado ni publicado en el “Boletín Oficial del Estado” a la fecha en que se interpuso la presente demanda de amparo dota de especial trascendencia constitucional a este recurso, a falta en ese momento de una doctrina específica, como sostuvimos en otro caso similar en la STC 56/2013, de 11 de marzo, FJ 1. A ello se añade —como se ha indicado— que han sido admitidos apreciando la especial trascendencia constitucional recursos de amparo similares interpuestos con posterioridad al presente. Por todo ello, como hemos adelantado, debe estimarse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del Ministerio Fiscal determina que se deje sin efecto la providencia impugnada, y que se dicte otra admitiendo la demanda por concurrir la especial trascendencia constitucional apreciada en otros recursos idénticos al presentado.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15 de junio de 2020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 a fin de que se dicte otra admitiendo el recurso de amparo núm. 7501-2019 al apreciar en el mismo la especial trascendencia constitucional exigida.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