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21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los magistrados don Juan Antonio Xiol Ríos, don Antonio Narváez Rodríguez y don Ricardo Enríquez Sancho, en el recurso de amparo núm. 6502-2019, promovido por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13 de noviembre de 2019, tuvo entrada en el registro general de este Tribunal Constitucional un escrito de la procuradora doña Blanca Berriatua Horta, en representación de la entidad Euroinversiones Inmobiliarias Costa Sur, S.L., por el que interpuso recurso de amparo contra el auto de 10 de enero de 2019 del Juzgado de Primera Instancia e Instrucción núm. 5 de Lorca, que inadmitió el escrito de oposición a la ejecución hipotecaria promovida por Banco de Sabadell, S.A.; y contra el auto del mismo juzgado, de 23 de septiembre de 2019,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10 de enero de 2019, el juzgado de primera instancia e instrucción ya indicado dictó un auto en el procedimiento de ejecución hipotecaria núm. 355-2018 por el que acordó: “Inadmitir a trámite la oposición formulada por la parte ejecutada Euroinversiones Inmobiliarias Costa Sur, S.L., […] por estar presentada fuera de plazo”, advirtiendo en pie de recurso que contra dicha resolución cabía recurso de reposición. El juzgado basó su decisión, conforme a su fundamento de Derecho único, 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establece en el artículo 134 de la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Establece el artículo 695 LEC, que la parte ejecutada pueda oponerse al despacho de ejecución en los términos previstos en dicho artículo y en el plazo de diez días a contar desde el siguiente a la notificación del auto y del decreto. Constando en el presente supuesto que la parte ejecutada se ha opuesto una vez transcurrido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23 de septiembre de 2019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 2 a) de la Ley 39/2015 Ley de procedimiento administrativo común de las administraciones públicas y art. 273. 3 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afirmar que “[i]nterpretan las recurrentes de forma errónea la normativa aplicable”, con cita de los arts. 162.2 LEC, 33.2 y 34 de la Ley 18/2011, de 5 de julio, reguladora del uso de las tecnologías de la información y comunicación en la administración de justicia, y el art. 11.2 del Real Decreto 1065/2015, de 27 de noviembre, sobre comunicaciones electrónicas en la administración de justicia y en el ámbito territorial del Ministerio de justicia y por el que se regula el sistemas Lexnet; y referirse al acuerdo no jurisdiccional del Pleno de la Sala Cuarta del Tribunal Supremo de 6 de julio de 2016, acerca del cómputo del plazo de tres días del art. 162.2 LEC, así como a un informe del Colegio de Registradores de la Propiedad en relación con las notificaciones electrónicas, el juzgado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15/06/2018 no accediendo al contenido hasta el día 25/07/2018 (fuera de los diez días que establece la normativa procesal), presentando los escritos de oposición a la ejecución en fecha 31/07/2018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saber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Ley de enjuiciamiento civil.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10 de enero de 2019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es importante hacer mención a la “recientísima sentencia del Tribunal Constitucional STC 47/2019, de 8 de abril de 2019, que no solo confirma todo lo dicho hasta ahora en el presente recurso de amparo, sino que lo refuerza, en el sentido de que en modo alguno debe entenderse que, tratándose del emplazamiento, este no se efectúe en el domicilio como impone el artículo 155.1 LEC”, sin que a ello obste la argumentación dada por el auto que inadmite la oposición; pasando a reproducir pasajes de los fundamentos jurídicos 2 a 5 de dicha STC 47/2019.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 23 de septiembre de 2019 que desestimó la reposición, se rechaza por la recurrente que los preceptos citados por el juzgado fundamenten su decisión, en cuanto “no es menos cierto que, en ningún precepto de la Ley de enjuiciamiento civil se diga que al proceso civil se le aplican las normas del proceso administrativo, ni existe ningún precepto en ninguna otra norma que otorgue a la normativa del proceso administrativo el mismo rango o aplicabilidad que puedan tener la norma procesal civil, la penal, la contencioso-administrativa o la social, que disponen de regulación específica a través de normas concretas, puesto que, mientras la administrativa regula un tipo de procedimiento específico, las otras hacen referencia a procesos que se plantean ante tribunales de justicia, que aunque forman parte de la ‘administración’, tienen su normativa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aquéllas, a fin de que el juzgado a quo admita a trámite la oposición al despacho de ejecución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 hacer perder al recurso de amparo su finalidad, por lo que solicito la suspensión de la continuación del procedimiento de ejecución hipotecaria 355-2018 seguido ante el Juzgado de Primer Instancia e Instrucción núm. 5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Cuarta, Sala Segunda, de este Tribunal Constitucional, dictó diligencia de ordenación el 21 de noviembre de 2019 solicitando al juzgado a quo la remisión de certificación o fotocopia adverada de las actuaciones correspondientes del procedimiento de ejecución hipotecaria núm. 355-2018.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dictó providencia el 29 de junio de 2020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o bien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Diríjase atenta comunicación a Juzgado de Primera Instancia e Instrucción núm. 5 de Lorca a fin de que, en plazo que no exceda de diez días, emplace, y toda vez que ya constan recibidas las actuaciones de instancia, se emplace a quienes hubieren sido parte en el procedimiento, excepto la parte recurrente en amparo, para que en el plazo de diez días puedan comparecer, si lo desean,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Cuarta de este tribunal en la misma fecha de la admisión del recurso, el 29 de junio de 2020, se dispuso “formar con el precedente testimonio la presente pieza separada de suspensión y, de conformidad con lo prevenido en el art. 56 de la Ley Orgánica del Tribunal Constitucional (LOTC), conceder un plazo común de tres días al Ministerio Fiscal y al solicitante de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entidad recurrente presentó su escrito de alegaciones con fecha 9 de julio de 2020,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sus AATC 21/2018 de 5 de marzo, y 58/2018 de 4 de junio, reiterando a renglón seguido las vulneraciones constitucionales de fondo que aduce en su demanda, e indicando que de no adoptarse la medida y “seguir adelante la ejecución podría producirse la transmisión irrecuperable del dominio del bien inmueble, creando una situación difícilmente reversible que menoscabaría los fines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fiscal ante este Tribunal Constitucional formalizó su escrito de alegaciones en esta pieza el 15 de julio de 2020, interesando que adoptemos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 LOTC y doctrina general sobre la procedencia de la suspensión del acto impugnado en amparo, señala que este tribunal ha establecido como criterio general, “que no procede suspender la ejecución de aquellos fallos judiciales que admiten la restitución íntegra de lo ejecutado (como de ordinario ocurre, aunque no sin excepciones, en las condenas de contenido patrimonial)”. Que no obstante ello, “tampoco las condenas de contenido patrimonial pueden quedar absolutamente marginadas de la posibilidad de suspenderse, habrá que valorar en estos casos, con especial énfasis que no se produzca perjuicio para el interés general, lo que normalmente no ocurrirá en los pleitos puramente civiles, y de manera más concreta que no se acabe implicando los derechos presentes o futuros de terceros que puedan acabar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Aplicando la doctrina a la solicitud formulada por la recurrente, se entiende por el fiscal que la misma “no parece muy fundamentada […] ya que se limita a la mera petición sin explicitar ninguna razón salvo la mera pérdida de finalidad del recurso en el caso de que llegara a celebrarse la subasta de los bienes inmuebles en conflicto y su adjudicación a un tercero que actuaría de buena fe. Acordar la suspensión solicitada comportaría la drástica medida que supondría la paralización del procedimiento ejecutivo, que por su propia naturaleza goza de las características de celeridad y sumariedad. Mucho más eficaz para conseguir el efecto protector deseado por la recurrente sería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tercero adquirente queda especialmente protegido por su buena fe en la adquisición”.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no tiene dudas de que este tribunal puede acordar dicha medida, ex art. 56.3 LOTC, conforme tiene establecido nuestra doctrina, con cita del ATC 95/2015, de 25 de mayo, FJ 4. Entiende que “nos encontramos en uno de esos supuestos en que tratándose de un (sic) resolución de carácter patrimonial, no obstante puede acabar afectando a derechos futuros de terceros adquirentes de buena fe, por lo que de acuerdo con la doctrina de este tribunal, sería procedente la anotación preventiva de la demanda, que haría que lo que consta en el registro de la propiedad fuera fiel reflejo de la realidad, evitando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355-2018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 así como en el ATC 85/2019, de 15 de julio, donde se plantearon los mismos argumentos que aquí para solicitar la suspensión por la otra entidad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 en relación con el presente recurso de amparo instado por la entidad Euroinversiones Inmobiliarias Costa Sur, S.L.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355-2018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