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22 de octubre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2890-2020, planteado por la Generalitat de Cataluña respecto del escrito de 3 de marzo de 2020 de la directora de competencia de la Comisión Nacional de los Mercados y la Competencia, por el que se requiere a la Autoridad Catalana de la Competencia la remisión del expediente “Campaña de Consumo Estratégico”. Ha comparecido y formulado alegaciones el abogado del Estado.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julio de 2020, el Gobierno de la Generalitat de Cataluña promovió un conflicto positivo de competencia en relación con el escrito de 3 de marzo de 2020 de la directora de competencia de la Comisión Nacional de los Mercados y la Competencia (CNMC) por el que se requiere a la Autoridad Catalana de la Competencia la remisión del expediente RF 177 CAT 06-36-19, denominado “Campaña de Consumo Estratégico”, para ser analizado y resuelto por dicha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el escrito de demanda fundamenta el conflicto en las consideraciones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objeto del conflicto es determinar a qué administración corresponde la competencia ejecutiva para resolver si la campaña “Consumo Estratégico”, impulsada por la Asamblea Nacional Catalana (ANC), vulnera la Ley 15/2007, de 3 de julio, de defensa de la competencia. La Generalitat sostiene que la reclamación del expediente por el Estado, basada en el dictamen emitido el día 21 de febrero de 2020 por la Junta Consultiva en materia de conflictos prevista en el art. 2.1 de la Ley 1/2002, de 21 de febrero, de coordinación de las competencias del Estado y las comunidades autónomas en materia de defensa de la competencia, se fundamenta en unos criterios interpretativos, con elementos analógicos y valoraciones apriorísticas, que vulneran la doctrina constitucional sentada en la STC 208/1999, de 11 de noviembre. A su juicio, no se ha acreditado el efecto supraautonómico de la campaña, por lo que la instrucción y resolución del procedimiento de defensa de la competencia corresponde a la autoridad catalana y no a la CNMC.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expediente sobre el que se plantea el conflicto tiene su origen en la denuncia presentada ante el organismo catalán de defensa de la competencia (Autoridad Catalana de la Competencia) por la asociación empresarial Fomento del Trabajo Nacional, por infracción del art. 3 de la Ley 15/2007 (“falseamiento de la libre competencia por actos desleales”). Al considerarse competentes para instruir y resolver el expediente tanto dicho organismo como la CNMC, e intercambiadas varias cartas e informes entre ambas autoridades, fue convocada la Junta Consultiva en materia de conflictos prevista en la Ley 1/2002, que emitió un dictamen en el que consideraba competente al organismo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denuncia que la competencia estatal se justifica con criterios y reglas que no se ajustan a la doctrina constitucional sobre los puntos de conexión en materia de defensa de la competencia. La demanda no discute el canon aplicable, que es el recogido en la STC 208/1999 y en la Ley 1/2002, sino que centra su objeción en los criterios interpretativos de Derecho comunitario que considera son los que han llevado a la CNMC a reclamar el expediente, apartándose de los puntos de conexión tal y como han sido interpretados por el Tribunal Constitucional. Al respecto, recuerda que el Derecho comunitario no es canon de constitucionalidad aunque admite, con cita de doctrina constitucional, que se preste atención al modo en que una determinada institución jurídica ha sido configurada por la normativa comunitaria, pero con la debida 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discrepancia se concreta en si la campaña “Consumo Estratégico” tiene alcance supraautonómico, más allá del territorio catalán o si, por el contrario, se circunscribe esencialmente al territorio autonómico, como sostiene la autoridad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parte de que la ANC es una entidad de carácter privado, no un operador de mercado, por lo que no le resulta de aplicación la normativa sobre defensa de la competencia. La campaña promocionaba hábitos de consumo, apelando a determinadas convicciones (“conciencia social”, “conciencia nacional” y “valores republicanos”) que se enmarcan en la libertad asociativa y en la libertad de expresión. Iba dirigida tanto a empresas como a consumidores que voluntariamente se inscribieran en ella, y su origen está en la situación económico-política en la que se ha visto inmersa Cataluña estos últimos años, que han llevado a la ANC a hacer una llamada al consumo responsable, social y ético que considera beneficioso para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pretende así que el consumidor tenga en cuenta empresas que no sean favorables a la injerencia en la política, que respeten el medio ambiente, favorezcan la cooperación y la responsabilidad social, promuevan la economía circular y la lengua catalana, entre otros objetivos, con el fin de fortalecer la economía y promover los valores ideológicos de la entidad. Todo ello con el compromiso de los consumidores y empresas con la economía catalana, los valores republicanos y las decisiones democráticas, sin injerencias políticas, según el ideario de la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la campaña “Consum Estratègic” se presenta por parte de la ANC como respuesta a lo sucedido desde un punto de vista económico y político en Cataluña en el último semestre de 2017, en el cual se convocó y celebró el denominado referéndum de autodeterminación. Más exactamente, la entidad entiende que hubo determinadas actitudes empresariales que se alinearon con presiones, pretendiendo dar lugar a una sensación de miedo y pánico económico desfavorable para la economía catalana. Los datos objetivos, según la entidad, corroboran que mediante el Real Decreto-ley 15/2017, de 6 de octubre, de medidas urgentes en materia de movilidad de operadores económicos dentro del territorio nacional, se facilitó el traslado de domicilios sociales fuera de Cataluña. Otros hechos relevantes fueron la retirada de una cuantía importante de los fondos del Estado de los depósitos de determinadas entidades financieras catalanas y las presiones sobre algunas empresas para que abandonaran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de ello está exento de valoración ideológica y la ANC pretende reaccionar frente a los efectos de dicha deslocalización, afianzando los valores compartidos entre consumidores y empresas para que aquellos puedan tomar decisiones mejor informadas.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trataría —prosigue la demanda— de una campaña en la que no prevalece una finalidad comercial o económica, sino el ejercicio de la libertad de expresión, con valores mucho más allá de lo meramente mercantil y para el ámbito exclusivamente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campaña se ha desarrollado en varios ámbitos, que incluyen un total de noventa y dos ferias en distintas comarcas de Cataluña, 115 conferencias y una prueba piloto consistente en presentar mociones en los ayuntamientos de la comarca de Osona para que contraten con proveedores “estratégicos”. La herramienta más importante y en la que se focaliza la disputa, era la creación de una página web, que incluía un registro de proveedores y clientes con el fin de promocionar que los consumidores de Cataluña contrataran bienes y servicios como electricidad, gas, telefonía, carburantes, servicios financieros y de seguros, grandes superficies, etc. con empresas que reunieran una serie de requisitos. En la página web solo podían inscribirse consumidores residentes en Cataluña y los proveedores que prestaran servicios en dicha comunidad. Aunque no consta que se exigiera la adhesión al ideario político de la ANC, sí queda acreditado que esta impulsó la campaña para promover un consumo ajustado a sus objetivos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abogados de la Generalitat, la clave está en que la campaña se desarrolló solo en el mercado catalán. La mera posibilidad de que algún efecto trascendiera más allá de dicho mercado no debe comportar el desplazamiento automático de la competencia, si no se demuestra la relevancia objetiva de la afectación supraautonómica.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 partirse de la STC 208/1999, de 11 de noviembre, que solo reserva al Estado la competencia ejecutiva de defensa de la competencia cuando las conductas la alteren o puedan alterarla en un ámbito supraautonómico, o en el conjunto del mercado nacional. La letra a) del art. 1.2 de la Ley 1/2002, dictada en cumplimiento de la citada sentencia, establece los siguientes criterios para valorar dicho efecto: la dimensión del mercado afectado; la cuota de mercado de la empresa correspondiente; la modalidad o alcance de la restricción de la competencia o sus efectos sobre los competidores efectivos o potenciales y sobre los consumidores, aun cuando las conductas se realicen en el territorio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letra b) de dicho art. 1.2 añade que se considerará que tiene efecto supraautonómico la conducta que pueda atentar contra el establecimiento de un equilibrio económico adecuado y justo entre las diversas partes del territorio español; implicar medidas que directa o indirectamente obstaculicen la libre circulación y establecimiento de las personas y la libre circulación de bienes en todo el territorio nacional; o suponer la compartimentación de los mercados o menoscabar las condiciones básicas que garanticen la igualdad de todos los españoles en el ejercicio de los derechos y en el cumplimiento de los deberes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anteriores son conceptos jurídicos de carácter generalista y finalista, lo que permite un amplio margen de apreciación a los efectos de atribuir la competencia al Estado. Pero esto no puede suponer automáticamente que las comunidades autónomas se vean privadas de sus competencias ejecutivas. La aplicación de los puntos de conexión de la Ley 1/2002 debe respetar la regla de que la centralización de competencias ejecutivas es excepcional, línea seguida también por la STC 208/1999.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presente controversia el Estado ha seguido criterios propios del Derecho de la Unión Europea para atraer hacia sí la competencia. En particular, ha utilizado los criterios de “efecto apreciable sobre el comercio”, “poder afectar” y “autoridad bien situada” contenidos en las comunicaciones de la Comisión 2004/C 101/03 y 2004/C 101/07, que complementan al Reglamento (CE) 1/2003, que coordina la intervención de la Comisión y de los Estados respecto de las normas sobre defensa de la competencia. Se trata de nociones y criterios del Derecho de la competencia de la Unión Europea que son coincidentes con los elaborados por la doctrina constitucional y bien pudieran constituir el parámetro de referencia para la designación de la autoridad competente en este caso. Si esos criterios del derecho de competencia de la Unión Europea pueden servir para establecer cuándo una autoridad española de la competencia (estatal o autonómica) ha de conocer de un asunto frente a otra autoridad de la competencia de otro Estado miembro de la Unión Europea, en cambio, no pueden aplicarse para determinar cuándo ha de conocer la autoridad estatal española o la autoridad de una comunidad autónoma, ya que los criterios de delimitación entre Estado y comunidades autónomas son los puntos de conexión que, de conformidad con la doctrina fijada por el Tribunal Constitucional, quedaron plasmados en la Ley 1/2002, y no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es procedente la aplicación analógica de criterios propios del Derecho de la Unión Europea, cuyo sistema de distribución de competencias no es equivalente, ya que en él cabe la actuación concurrente de varias autoridades y en el ámbito interno no. Pero incluso en el supuesto de que la aplicación de los criterios comunitarios fuera teóricamente posible, también llevarían a reconocer la competencia de la Autoridad Catalana de la Competencia, tanto desde la perspectiva de “autoridad bien situada”, como de la regla de “efectos apreciables sobre el comercio”.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abogados de la Generalitat sostienen que los puntos de conexión de la Ley 1/2002 deben interpretarse de forma que, con carácter general, la potestad ejecutiva corresponda a las comunidades autónomas, sobre todo cuando la conducta anticompetitiva se realice fundamentalmente en su territorio, aunque pueda tener efectos supraautonómicos, si estos son de poca relevancia o significación y no afecta sensiblemente al conjunto del mercado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análisis de la campaña “Consumo estratégico” permite deducir que, ni las ferias, ni las conferencias, todas ellas celebradas en territorio catalán, tuvieron efecto extraterritorial alguno. Respecto de la página web, se dirige solo a consumidores que, para acceder, deben introducir un código postal correspondiente a Cataluña. Si bien también fue posible de forma temporal acceder mediante códigos de otros territorios, tal situación solo se produjo entre el 20 de junio de 2019 y mediados de agosto del mismo año y para titulares de códigos postales erróneos, alcanzando a un número muy limitado de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cita doctrina de la Junta Consultiva según la cual en casos de efectos temporales muy limitados como este hay que atender al mercado a que afecta la conducta durante una mayor parte del tiempo. Además, el que la web sea accesible desde cualquier lugar no es determinante para centralizar la competencia ejecutiva (cita la STC 61/2015, de 18 de marzo, FJ 4, referida al conflicto planteado por la Generalitat sobre la regulación estatal de los certificados de profesionalidad). En cuanto a los proveedores, se exige que presten servicios o vendan bienes en dicha comunidad. Por consiguiente, la conducta denunciada tiene una proyección acotada sustancialmente en Cataluña, de forma que no produce efectos relevantes o significativos, más allá de este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reivindicación de la competencia por la CNMC —alega la demanda— se basa en criterios indeterminados y apriorísticos, como son la potencial afectación a empresas con sede fuera de Cataluña que, según alega el organismo estatal, serían empresas del IBEX35, así como otras que quisiesen establecerse en el mercado geográfico catalán. Pero no se aportan los indicios necesarios que confirmen lo anterior. El dictamen del Consejo de Garantías Estatutarias menciona que, según la documentación consultada, se habrían producido alrededor de 148 000 nuevas contrataciones en ámbitos de empresas suministradoras de gas y electricidad como consecuencia de la campaña. Pero debe tenerse en cuenta que, según datos del Síndic de Greuges, en 2014 se contabilizaron 25 208 612 viviendas a nivel estatal, a efectos de consumos básicos como agua, electricidad y gas. La propia CNMC recogió 900 000 cambios de operador de telefonía móvil al inicio de 2018. Y en energía se registraron 1,4 millones de cambios de usuarios durante el año 2016. Por tanto, las nuevas contrataciones motivadas por la campaña tienen un peso relativo reducido.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citan las actuaciones del Consejo Vasco de la Competencia (resolución 2/2014) sobre un boicot en la terminal de contenedores del puerto de Bilbao en el que, pese al ámbito internacional de la empresa perjudicada, se consideró que el referente debía ser el ámbito de la asociación de transportistas impulsora de la campaña. Igualmente, se invoca la resolución 9/2008 de dicho organismo, así como la del organismo catalán 12/2006, que analizaron prácticas restrictivas de ámbito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aplicar los puntos de conexión se debe identificar el área territorial en la que se proyecta la actuación presuntamente infractora, por lo que lo relevante no es la procedencia geográfica de aquellas empresas que puedan operar en el mercado de referencia, sino los potenciales perjuicios ocasionados a los operadores del resto de España. En este sentido, el dictamen de la Junta Consultiva reconoce expresamente en este caso que no hay base suficiente para determinar inequívocamente la titularidad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referencia genérica a la “unidad del mercado nacional”, como elemento atributivo de la competencia estatal, no es posible sin atender a elementos más precisos y verificados, como los establecidos en la Ley 1/2002. Si la mera invocación de la afectación al mercado nacional determinara la competencia de la entidad estatal sin tener en cuenta ningún otro criterio o parámetro, se estaría concibiendo un nuevo criterio de delimitación competencial contrario a los establecidos en la STC 208/1999 y luego reiterados en las SSTC 124/2003, de 19 de junio; 157/2004, de 23 de septiembre; 31/2010, de 28 de junio, y 71/2012, de 16 de abril. La determinación del órgano competente debe hacerse a tenor de tales criterios, evitando el vaciamiento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uniformidad, en el ámbito de la defensa de la competencia, se garantiza con la aplicación de una normativa común, sin que precise centralizar también las competencias ejecutivas. El objetivo de la homogeneidad también se logra a través de la doctrina de los órganos estatales en la materia y otros mecanismos de coordinación, como el del art. 5.3 de la Ley 1/2002, que prevé la comparecencia del organismo estatal como interesado en los procedimientos tramitados por las autoridades autonómicas, reconociéndole incluso legitimación para interponer los recursos pertinentes ante las instancias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reiterando que, al asumir la CNMC el expediente sancionador, sin base suficiente para acreditar una alteración de la competencia en un ámbito supraautonómico o en el conjunto del mercado nacional, se ha vulnerado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cual, la Generalitat interesa que se dicte sentencia por la que se declare que le corresponde la competencia controvertida, dejando sin efecto el requerimiento de la directora de competencia de la CNMC.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 base en el art. 64.3 de la Ley Orgánica del Tribunal Constitucional (LOTC), la Generalitat solicita por otrosí la inmediata suspensión de las actuaciones de la CNMC en el expediente de referencia, argumentando que resulta imprescindible para evitar la vulneración de derechos fundamentales de terceros interesados y no ha de producir un perjuicio significativo para los intereses generales en presencia.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21 de julio de 2020, el Pleno, a propuesta de la Sección Cuarta, acordó admitir a trámite el conflicto positivo de competencia, dando traslado de la demanda y los documentos presentados al Gobierno de la Nación, al objeto de que en el plazo de veinte días presentara las alegaciones que estimara convenientes. Asimismo, se le ofreció un plazo específico de cinco días para alegaciones respecto de la solicitud de suspensión cautelar. También se acordó, según prevé el art. 61.2 LOTC, comunicar la incoación del conflicto a la Sala de lo Contencioso-Administrativo de la Audiencia Nacional y al Juzgado de lo Mercantil núm. 11 de Barcelona. Por último, se decidió publicarla en el “Boletín Oficial del Estado” y en el “Diario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30 de julio de 2020, el abogado del Estado presentó un escrito de alegaciones, en el que interesa que se desestime la solicitud de suspensión cautelar, alegando que la misma tiene carácter excepcional y se debe abordar sin vincularla a la cuestión de fondo, que se analizará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7 de septiembre de 2020, el abogado del Estado solicitó del tribunal que se le concediera una prórroga de diez días sobre el plazo inicialmente establecido para formular sus alegaciones. Por diligencia de ordenación de la misma fecha, la secretaria de justicia del Pleno acordó conceder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 alegaciones del abogado del Estado, interesando la desestimación del conflicto positivo de competencia, tuvo entrada en el registro de este tribunal el día 2 de octubre de 2020. Su contenido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invocar la doctrina constitucional aplicable y el contenido del art. 1 de la Ley 1/2002, argumenta que la campaña “Consumo estratégico” se basa en el fomento de la compra de productos en determinadas empresas afines, lo cual podría originar una expulsión del mercado de los competidores no afines a la ANC.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esta afirmación extracta un pasaje del dictamen de la Junta Consultiva, según el cual la campaña analizada pretende poner en contacto a los consumidores, incluidas las administraciones públicas, con empresas de las características requeridas, básicamente afines al soberanismo postulado por la ANC.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asimismo, jurisprudencia del Tribunal Supremo según la cual un acto puede ser contrario al orden concurrencial si es objetivamente idóneo para, al menos de forma potencial, promover la difusión de prestaciones propias o de un tercero, con independencia de la intención de los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posibles efectos de la conducta denunciada consistirían en la posible limitación de la competencia, por motivos ideológicos, de operadores que prestan sus servicios o ejercen su actividad en el ámbito de Cataluña, pero también en el ámbito nacional. Considera que, tanto el auto del Juzgado de lo Mercantil núm. 11 de Barcelona de 20 de diciembre de 2019, como el de la Audiencia Provincial de Barcelona de 11 de junio de 2020, que lo confirma en apelación, han calificado indiciariamente la conducta como un boicot contrario a la Ley de competencia desleal, que pretende condicionar las preferencias de consumo de sus destinatarios, según criterios políticos que no son los que deben prevalecer en el mercado, en el que ha de primar la eficiencia de las prestaciones. La canalización de la práctica a través de diversos medios de comunicación con capacidad de llegar a un numeroso grupo de consumidores y la utilización de medios tecnológicos y su difusión por internet, hacen que el boicot denunciado tenga una mayor capacidad de coordinación y propagación para el público generalista al que va dirigido y, en último término, mayor influencia en su comportamiento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remitiéndose de nuevo al dictamen de la Junta Consultiva cuando afirma que la conducta afecta al funcionamiento correcto del mercado y al principio de igualdad en el ejercicio de la libertad de empresa en todo el mercado nacional, así como al normal desarrollo del tráfico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este caso concreto la atribución al Estado de la competencia ejecutiva se justifica en que, tanto el objetivo final de la conducta (seleccionar a empresas afines a la causa independentista para lograr un mercado diferenciado del resto de España), como los posibles efectos que la misma pudiera tener en la libertad de establecimiento y circulación de bienes y servicios en Cataluña, afectan claramente al mercado a nivel estatal, ocasionando su fragmentación. Cita la STC 208/1999, FJ 6, cuando enfatiza la importancia de un mercado único a nivel nacional y reserva al Estado “no solo la normación, sino todas las actividades ejecutivas que determinen la configuración real del mercado único de ámbito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el análisis competencial se realiza antes de conocer todos los efectos de la conducta en cuestión, que será objeto de análisis una vez se determine dicha competencia, puede aquí suponerse un escenario en el que la campaña produjera un resultado significativo, para evidenciar y valorar su incidencia en la unidad de mercado y, por tanto, el potencial efecto supraautonómico de la conducta. Y ello de acuerdo con el principio de interpretación útil del Derecho entendido de tal manera que se otorgue a la conducta la posibilidad de desplegar todos sus efectos. Suponiendo que el propósito de la campaña fuera eficaz, se tendría que una gran parte de los consumidores catalanes, tanto públicos como privados, habrían seleccionado empresas afines a la causa independentista, expulsando así del mercado catalán a empresas que actualmente estuvieran desarrollando su actividad en él, y segmentando un mercado propio, con la consiguiente limitación de facto de la libre circulación y establecimiento de los operadores que actúan a nivel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implicaría un efecto distorsionador del mercado nacional en parte del territorio, lo que justificaría que, por aplicación de los puntos de conexión establecidos en el artículo 1.2 a) y b) de la Ley 1/2002, la competencia se atribuya a la CNMC.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20 de octubre de 2020,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promueve un conflicto positivo de competencia respecto del expediente “Campaña de Consumo Estratégico”, y se dirige, en concreto, contra el escrito de 3 de marzo de 2020 de la directora de competencia de la Comisión Nacional de los Mercados y la Competencia (en adelante, CNMC), por el que se requiere a la Autoridad Catalana de la Competencia la remisión de dicho expediente para que el procedimiento por posible infracción de la Ley 15/2007, de 3 de julio, de defensa de la competencia (en lo sucesivo, Ley de defensa de la competencia), sea instruido y resuelto por el órgano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detallado en el relato de antecedentes, la Generalitat argumenta que la promotora de la campaña es la Asamblea Nacional Catalana (ANC), asociación privada que no queda obligada por la normativa sobre defensa de la competencia, máxime considerando que el objetivo de la campaña es fundamentalmente político, no mercantil, y se justifica en la libertad asociativa y de expresión. Añade que el requerimiento formulado por la CNMC, basado en el dictamen de la Junta Consultiva en materia de conflictos prevista en el art. 2.1 de la Ley 1/2002, de 21 de febrero, de coordinación de las competencias del Estado y las comunidades autónomas en materia de defensa de la competencia (en lo sucesivo, Ley 1/2002), no ha justificado que la campaña analizada pueda suponer una alteración de la competencia en un ámbito supraautonómico o en el conjunto del mercado nacional, como exige la doctrina constitucional. Según la Generalitat, la pretendida competencia estatal se fundamenta en criterios propios del Derecho de la Unión Europea, que no resultan aplicables a este caso, con lo que se vulnera la competencia ejecutiva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abogado del Estado sostiene que los criterios de la STC 208/1999, de 11 de noviembre, y de la Ley 1/2002 justifican la competencia ejecutiva estatal, ya que la campaña impulsada por la ANC afecta al funcionamiento correcto del mercado único, pudiendo expulsar a empresas de ámbito nacional que actualmente desarrollan su actividad en Cataluña, lo que supone una segmentación de este mercado y una limitación de la libertad de circulación y establecimiento de los operadores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Precisiones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análisis del conflicto suscitado, es necesario realizar algunas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Deben quedar fuera del ámbito de este proceso las cuestiones de si la ANC está o no sujeta a las previsiones de la Ley de defensa de la competencia, si la campaña “Consumo estratégico” incurre en alguna de las conductas prohibidas por dicha ley o si puede ampararse en la libertad de expresión constitucionalmente garantizada. Tales aspectos, que afectan a la cuestión de fondo suscitada en el expediente sobre defensa de la competencia abierto, deberán abordarse al sustanciar el procedimiento iniciado por la posible infracción de la citada ley, con independencia de que lo haga el organismo estatal o el autonómico. Por tanto, el objeto del presente proceso constitucional se circunscribe a determinar si la competencia en disputa corresponde a la CNMC o a la Autoridad Catalana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uno de los principales argumentos esgrimidos en la demanda es que la CNMC se ha atribuido la competencia en virtud de criterios interpretativos propios del Derecho comunitario. Al respecto, debemos recordar la reiterada doctrina de este tribunal según la cual el Derecho de la Unión Europea no es en sí mismo canon o parámetro directo de constitucionalidad (entre muchas otras, SSTC 49/1988, de 22 de marzo, FJ 14; 28/1991, de 14 de febrero, FJ 5; 254/1993, de 20 de julio, FJ 5; 12/2008, de 29 de enero, FJ 2, y 140/2018, de 20 de diciembre, FJ 6). Más específicamente, este tribunal tiene declarado que “en los procesos constitucionales a que dan lugar los conflictos positivos de competencia no pueden hacerse valer otros motivos de inconstitucionalidad de los actos o disposiciones que los que atañen a la vulneración de las reglas constitucionales y estatutarias de distribución de competencias” (STC 45/2001, de 15 de febrero, FJ 7,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también hemos señalado que “no cabe ignorar que la propia interpretación del sistema de distribución competencial entre el Estado y las comunidades autónomas tampoco se produce en el vacío” (STC 102/1995, de 26 de junio, FJ 5). Por ello, prestar atención a cómo se ha configurado una institución por el Derecho comunitario puede ser no solo útil, sino incluso obligado para aplicar correctamente sobre ella el esquema interno de distribución competencial (STC 13/1998, de 28 de junio, FJ 3). Posteriormente será preciso volver sobre este punto al examinar los concretos argumentos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Encuadramiento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debatida en el presente conflicto se enmarca en el ámbito de la aplicación de la Ley de defensa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Constitución no prevé expresamente el reparto de competencias en la materia sobre la que versa el conflicto, pero la STC 208/1999, de 11 de noviembre, FJ 6, la incluyó dentro de las “bases y coordinación de la planificación general de la actividad económica” (art. 149.1.13 CE). Dicha sentencia, que resolvió los recursos de inconstitucionalidad presentados por dos gobiernos autonómicos contra la Ley 16/1989, de 17 de julio, de defensa de la competencia, sustituida por la actualmente vigente Ley 15/2007, de 3 de julio, abordó el encuadre de la materia “defensa de la competencia” y el alcance de las atribuciones del Estado y las comunidades autónomas,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defensa de la competencia constituye, a la vez, un presupuesto y un límite necesario de la libertad de empresa en el marco de la economía de mercado, reconocida en el art. 38 CE. Como dijimos en la tan citada STC 88/1986, ‘el reconocimiento de la economía de mercado por la Constitución, como marco obligado de la libertad de empresa, y el compromiso de proteger el ejercicio de esta —artículo 38, inciso segundo— por parte de los poderes públicos supone la necesidad de una actuación específicamente encaminada a defender tales objetivos constitucionales. Y una de las actuaciones que pueden resultar necesarias es la consistente en evitar aquellas prácticas que puedan afectar o dañar seriamente a un elemento tan decisivo en la economía de mercado como es la concurrencia entre empresas, apareciendo así la defensa de la competencia como una necesaria defensa, y no como una restricción, de la libertad de empresa y de la economía de mercado, que se verían amenazadas por el juego incontrolado de las tendencia naturales de este’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se halla naturalmente relacionada con la necesaria unidad de la economía nacional y la exigencia, que tantas veces hemos subrayado, de que exista un mercado único que permita al Estado el desarrollo de su competencia constitucional de bases y coordinación de la planificación general de la actividad económica (art. 149.1.13 CE) (SSTC 96/1984, FJ 3; 64/1990, FJ 10, y 118/1996, FJ 7): sin ‘la igualdad de las condiciones básicas de ejercicio de la actividad económica (arts. 139.1 y 149.1.1 CE) [...] no es posible alcanzar en el mercado nacional el grado de integración que su carácter unitario impone’ (STC 64/1990, FJ 3). Parece, pues, innecesario destacar el carácter básico que, desde la competencia estatal ex art. 149.1.13, reviste cuanto a la defensa de la competencia se refiere, pues nos hallamos ante un elemento definitorio del mercado. De modo que no solo la normación, sino todas las actividades ejecutivas que determinen la configuración real del mercado único de ámbito nacional habrán de atribuirse al Estado, al que corresponderán, por lo tanto, las actuaciones ejecutivas en relación con aquellas prácticas que puedan alterar la libre competencia en un ámbito supracomunitario o en el conjunto del mercado nacional, aunque tales actos ejecutivos hayan de realizarse en el territorio de cualquiera de las comunidades autónomas recurrentes. […] A lo que hay que añadir que, como hemos dicho en múltiples ocasiones, al Estado, en virtud de su competencia específica ex art. 149.1.13 CE (SSTC 144/1985, FJ 11, y 118/1996, FJ 8) le corresponde articular los mecanismos de coordinación que estime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delimitadas las competencias estatales, la citada STC 208/1999, FJ 6, señaló que corresponden a las comunidades autónomas “aquellas actuaciones ejecutivas que hayan de realizarse en su territorio y que no afecten al mercado supracomunitario”, insistiendo en que “no solo la normación, sino todas las actividades ejecutivas que determinen la configuración real del mercado con trascendencia extracomunitaria habrán de atribuirse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referida sentencia declaró inconstitucionales y nulos los preceptos de la Ley de defensa de la competencia que atribuían al Estado todas las competencias ejecutivas, si bien difirió los efectos de la nulidad hasta que el legislador estatal estableciera “los criterios de conexión pertinentes, [para que] puedan las comunidades autónomas recurrentes ejercer las competencias ejecutivas que aquí se les reconocen”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tal efecto, se aprobó la mencionada Ley 1/2002 cuyo art. 1.1, recogiendo la regla de la STC 208/1999, dispone que corresponderá al Estado el conocimiento de las conductas que “alteren o puedan alterar la libre competencia en un ámbito supraautonómico o en el conjunto del mercado nacional, aun cuando el ejercicio de tales competencias haya de realizarse en el territorio de cualquiera de las comunidades autónomas”. Por su parte, el art. 1.2 añade los siguientes criterios interpretativos: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 caso, se considera que se altera o se puede alterar la libre competencia en un ámbito supraautonómico o en el conjunto del mercado nacional, en los siguientes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Cuando una conducta altere o pueda alterar la libre competencia en un ámbito supraautonómico o en el conjunto del mercado nacional o pueda afectar a la unidad de mercado nacional, entre otras causas, por la dimensión del mercado afectado, la cuota de mercado de la empresa correspondiente, la modalidad y alcance de la restricción de la competencia, o sus efectos sobre los competidores efectivos o potenciales y sobre los consumidores y usuarios, aun cuando tales conductas se realicen en el territorio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una conducta pueda atentar contra el establecimiento de un equilibrio económico adecuado y justo entre las diversas partes del territorio español, implicar medidas que directa o indirectamente obstaculicen la libre circulación y establecimiento de las personas y la libre circulación de bienes en todo el territorio nacional, suponer la compartimentación de los mercados o menoscabar las condiciones básicas que garanticen la igualdad de todos los españoles en el ejercicio de los derechos y en el cumplimiento de los deberes constitucionales, aun cuando tales conductas se realicen en el territorio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Reproduciendo los términos de la STC 208/1999, FJ 6, el art. 1.3 de la Ley 1/2002 reconoce a las comunidades autónomas con competencias en la materia su ejercicio respecto de las que “sin afectar a un ámbito superior al de una comunidad autónoma o al conjunto del mercado nacional, alteren o puedan alterar la libre competencia en el ámbito de la respectiva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art. 1.5 de la Ley excluye de las competencias autonómicas el control de las concentraciones económicas y de las ayudas públicas que puedan afectar a la competencia, así como la aplicación en España de las reglas del Tratado de funcionamiento de la Unión Europea. La STC 108/2014, de 26 de junio, desestimó el recurso de inconstitucionalidad interpuesto por un gobierno autonómico contra los preceptos de la Ley de defensa de la competencia que, como reflejo del art. 1.5 de la Ley 1/2002, reservan en exclusiva al Estado las facultades de control de las concentraciones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su parte, la Comunidad Autónoma de Cataluña ha asumido competencias ejecutivas en defensa de la competencia. En concreto, su Estatuto de Autonomía dispone en el art. 154.2 que “corresponde a la Generalitat la competencia ejecutiva en materia de defensa de la competencia en el ejercicio de las actividades económicas que alteren o puedan alterar la libre competencia del mercado en un ámbito que no supere el territorio de Cataluña”. La STC 31/2010, de 28 de junio, FJ 96, desestimó la impugnación de este precepto al apreciar que la asunción de competencias se circunscribe a las prácticas que alteren la libre competencia exclusivamente en el ámbito autonómico, por lo que se respeta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doctrina de la STC 208/1999 ha sido reiterada posteriormente, entre otras, por las SSTC 124/2003, de 19 de junio, FJ 4; 157/2004, de 23 de septiembre, FJ 4; 71/2012, de 16 de abril, FFJJ 4 y 5, y 128/2016, de 7 de julio, FJ 10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resolución del presente conflicto resulta especialmente relevante la STC 71/2012, de 16 de abril, que, al igual que en el caso aquí enjuiciado, abordó un conflicto positivo de competencia planteado por una comunidad autónoma que se consideraba competente para el conocimiento de un expediente que había asumido el Estado. En concreto, la Comunidad de Madrid sostenía que debía instruir y resolver el expediente sancionador abierto por la negativa de la Estación sur de autobuses de Madrid a adjudicar una taquilla de venta de billetes a una de las empresas que operaba la línea regular de transporte de viajeros por carretera Lisboa-Madrid-París, con el argumento de que dicha conducta solo tenía efectos en el territorio de dicha comunidad, por ser el lugar donde radica la estación. Así pues, como en el presente proceso, debía determinarse si los efectos de una conducta potencialmente contraria a la competencia se agotaban o no en el territorio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expresa de la STC 208/1999, la STC 71/2012, FJ 6, declaró que la competencia correspondía al Estado porque la conducta descrita, aunque tenía lugar en la Comunidad de Madrid, trascendía su ámbito geográfico, al afectar a una línea de transporte internacional, de modo que la denegación de ciertos servicios a la empresa que la operaba “tiene consecuencias no solo en el territorio de la Comunidad de Madrid, sino también en el mercado supraautonómico de transporte de viajeros”. Consideró determinante “que la imposibilidad de vender billetes en la Estación sur de autobuses en las mismas o similares condiciones que lo hacen sus competidores en esta línea regular, puede ser susceptible de vulnerar la libre competencia entre empresas y generar una situación de desventaja competitiva para Aníbal, S.L. [empresa perjudicada por la conducta restrictiva], que desarrolla su actividad, no solo en el territorio de la Comunidad de Madrid, sino también fuera dicho ámbito. Por lo que la decisión material sobre la práctica imputada a Esamsa [concesionaria de la Estación sur de autobuses de Madrid] corresponde al Tribunal de Defensa de la Competencia [cuyas funciones corresponden actualmente a la CNMC], ya que la hipotética desventaja competitiva se produciría en la explotación de una línea de transporte internacional y, por tanto, la práctica restrictiva tendría incidencia supraautonómica”.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campaña “Consumo estratégico” puede afectar al ámbito supraautonómico: desestimación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 el parámetro aplicable —que la conducta “pueda alterar la libre competencia en un ámbito supraautonómico o en el conjunto del mercado nacional”—, nos corresponde abordar el enjuiciamiento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eje de la demanda de la Generalitat se basa en que la CNMC ha asumido la competencia en virtud de criterios interpretativos específicos del Derecho de la Unión Europea. Se refiere, en particular, a las reglas de “efecto apreciable sobre el comercio”, “poder afectar” y “autoridad bien situada” contenidos en las comunicaciones de la Comisión 2004/C 101/03, sobre cooperación en la red de autoridades de competencia, y 2004/C 101/07, relativa al concepto de efecto sobre el comercio contenido en los arts. 81 y 82 del Tratado de la Comunidad Europea, actualmente arts. 101 y 102 del Tratado de funcionamiento de la Unión Europea (publicadas ambas en el “Diario Oficial de la Unión Europea” de 27 de abril de 2004). Dichas comunicaciones sirven de complemento al Reglamento (CE) 1/2003, de 16 de diciembre de 2002, que coordina la intervención de la Comisión y de los Estados respecto de las normas sobre defensa de la competencia (“Diario Oficial de la Unión Europea” de 4 de enero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en el fundamento jurídico segundo, el conflicto debe resolverse exclusivamente mediante la aplicación de las reglas constitucionales y estatutarias de distribución de competencias, pero esto no impide interpretar los conceptos y las instituciones correspondientes, cuando sea necesario, a la luz de la interpretación que, de otros similares, haya podido hacer el Derecho comunitario. Con mayor motivo, en una materia como la defensa de la competencia, sobre la que la STC 208/1999, ya puso de manifiesto que “la dimensión puramente interna y la dimensión comunitaria de la protección de la libre competencia [son] interdependientes”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no argumenta realmente en qué medida los criterios del Derecho de la Unión Europea que cita se apartan de los acuñados por la doctrina constitucional. Antes al contrario, llega a afirmar que “[las] nociones y criterios del Derecho de la competencia de la Unión Europea son coincidentes con los elaborados por la doctrina constitucional y bien pudieran constituir el parámetro de referencia para la designación de la autoridad competente en este caso” (pág. 28 de la demanda). No obstante, afirma que “para el supuesto de que fuese teóricamente posible, su aplicación [de los criterios comunitarios] conduciría necesariamente a establecer la competencia de la Generalitat de Cataluña […] tanto desde la perspectiva de ‘autoridad bien situada’, como teniendo en cuenta lo que dispone la ‘regla sobre ausencia apreciable’ [de efectos] sobre el comercio del mercado de la Unión” (pág.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colige que la asunción de la competencia por el Estado no se achaca a que se hayan seguido criterios exclusivos del Derecho de la Unión Europea, en detrimento de los constitucionales. La discrepancia gira únicamente sobre si, a la vista de las circunstancias de la campaña, cabe entender que sus efectos se agotan en el territorio de Cataluña o lo desbordan.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dictamen de la Junta Consultiva (págs. 6 y 7) menciona las directrices y la jurisprudencia comunitarias para la aplicación de los artículos 101 y 102 del Tratado de funcionamiento de la Unión Europea, pero lo hace obiter dicta, ya que su conclusión favorable a la competencia estatal no descansa en tales directrices sino en la doctrina de la STC 208/1999 y en la Ley 1/2002, a las que hace referencia expresa como ratio decidendi (págs. 4 y 5). En concreto, para la Junta, la competencia de la CNMC trae causa de la “posibilidad de afectación a la unidad de mercado”, toda vez que la campaña examinada “se ha articulado como medida al servicio de la exclusión de la actuación, en el ámbito autonómico, de ciertas empresas” (pág.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no cabe sostener que la Junta Consultiva y la CNMC se hayan basado en criterios del Derecho de la Unión Europea para defender la competencia estatal, sino que se han apoyado en el canon de la STC 208/1999, en particular, en la “posibilidad de afectación a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lo anterior, conviene destacar el paralelismo entre los términos “efecto apreciable”, empleado por la Comunicación de la Comisión Europea 2004/C 101/07, y “afectar o dañar seriamente”, que utiliza la STC 208/1999, FJ 4. Ambos coinciden en exigir que los efectos extraterritoriales de los acuerdos o prácticas supuestamente contrarios a la normativa antitrust —europea y española, respectivamente— alcancen cierta magnitud, esto es, que no sean insignificantes, como precisamente defiende la Generalitat. De la misma forma, las reglas constitucional y comunitaria también concuerdan al utilizar el término potencial “poder afectar”.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concepto de “autoridad bien situada” aparece recogido en la Comunicación de la Comisión 2004/C 101/03 como criterio para la división del trabajo entre las autoridades nacionales de competencia pero, contrariamente a lo que sostiene la Generalitat, ni el dictamen de la Junta Consultiva ni el requerimiento de la CNMC se refieren 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Aclarado lo anterior, un detenido examen de su propósito, alcance y sectores afectados lleva a este tribunal a concluir que, efectivamente, la campaña “Consumo estratégico” puede alterar la libre competencia en un ámbito supraautonómico o en el conjunto del mercado nacional,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objetivo declarado de la campaña es encauzar las opciones de los consumidores catalanes, tanto privados como públicos (las mociones impulsadas en varios ayuntamientos iban encaminadas a que estos también contrataran con proveedores “estratégicos” catalanes), en favor de empresas ubicadas en Cataluña y que se encontraran alineadas con los postulados políticos de la ANC, entre los que destaca “la constitución de un estado catalán propio, independiente, de derecho, social y democrático” [art. 2.1 a) de sus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llamamiento a contratar con proveedores catalanes afines al ideario independentista, en perjuicio del resto, tiende a crear “como aspiración ideal, un mercado propio catalán”, según afirma el dictamen de la Junta Consultiva; mercado catalán que se plantea como desvinculado del mercado único español, puesto que son objetivos de la campaña “potenciar la creación de estructuras económicas desvinculadas de las empresas del IBEX35 y de los poderes políticos del Estado español y favorecer así un tejido productivo catalán próspero por sí mismo”; crear una “realidad económica desvinculada de los poderes políticos y de los oligopolios que participan en la campaña del miedo” y “potenciar empresas alternativas a las que participan en la campaña del miedo”.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desvinculación se presenta como “liberación de los ámbitos económicos y empresariales actualmente en manos de las empresas del IBEX35” y como reacción a la deslocalización de empresas que —afirma la ANC— tuvo lugar en el segundo semestre de 2017, y que se pretende contrarrestar mediante el “compromiso de los consumidores y las empresas con la economía catalana”. Así, se apela a la “conciencia nacional” para rescindir los contratos con aquellas empresas que no compartan los postulados de la ANC.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tales rasgos de la campaña —sobre los que las partes en conflicto no discrepan— debemos tener presente que la razón de que la STC 208/1999, FJ 6, atribuyera ciertas competencias ejecutivas al Estado para aplicar la Ley de defensa de la competencia fue garantizar “la configuración real del mercado único de ámbito nacional”, es decir, preservar un mercado nacional y evitar su fragmentación, pues un mercado compartimentado equivale a la quiebra del conjunto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concepto de unidad de mercado este tribunal ha señalado que el mercado único tiene como rasgos fundamentales: ser un espacio donde se encuentren garantizadas la libre circulación de personas y bienes, y ser un espacio donde las condiciones esenciales de ejercicio de la actividad económica sean iguales [STC 79/2017, de 22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recordados los rasgos propios de un mercado único, este tribunal ha subrayado la relación que tendrían determinados títulos competenciales transversales recogidos en el artículo 149.1 CE con la promoción de la unidad de mercado, declarando que cuando las denominadas garantías estructurales —aquellos preceptos del título VIII de la Constitución que suponen un límite en sí a la diversidad regulatoria que puedan introducir los legisladores autonómicos en el ejercicio de sus competencias [como son aquellos que disponen la reserva competencial al Estado de ámbitos materiales concretos de manera exclusiva y excluyente (entre otros los recogidos en los apartados 6, 7, 8 o 9 del art. 149.1 CE) o aquellos otros que limitan y enmarcan la acción de todos los poderes públicos en el ejercicio de sus competencias (por ejemplo, aquellos principios recogidos en el artículo 139 CE)]—, se demuestran insuficientes para imponer la unidad económica, el Estado cuenta con las denominadas garantías dinámicas —aquellos preceptos que permiten que el Estado pueda intervenir normativamente a fin de garantizar esa 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estas últimas garantías dinámicas se encuentra, tanto la competencia del Estado sobre las bases y coordinación de la planificación general de la actividad económica (art. 149.1.13 CE), competencia que de acuerdo con la doctrina de este tribunal ampara, precisamente, todas aquellas normas y actuaciones, sea cual sea su naturaleza, orientadas a garantizar la “unidad de mercado” o la “unidad económica”, como la competencia del Estado para imponer la igualdad básica de todos los españoles en el ejercicio de los derechos y en el cumplimiento de los deberes constitucionales (art. 149.1.1 CE), que habilita al Estado a intervenir normativamente a fin de imponer aquella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acuerdo con nuestra doctrina, corresponde al Estado, al ejercer tales competencias transversales, la decisión de promover los rasgos del mercado único, pues debe recordarse que tales competencias no suponen, en realidad, una reserva al Estado de ámbitos materiales exclusivos y excluyentes, sino que suponen habilitaciones a aquel para la consecución de determinados fines, incluso aunque ello suponga, caso de efectivamente ejercerse, afectar a ámbitos materiales atribuidos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forma, la competencia ejecutiva estatal para conocer de un procedimiento por posible infracción de la Ley de defensa de la competencia se fundamenta, como hemos recordado en el fundamento jurídico tercero, en uno de dichos títulos transversales, en concreto, en el art. 149.1.13 CE (STC 208/1999,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de preservar la libre circulación en el territorio español (art. 139.2 CE) y evitar la “fragmentación del mercado” (SSTC 32/1983, de 28 de abril, FJ 3; 96/2002, de 25 de abril, FJ 11, y 210/2012, de 14 de noviembre, FJ 9) se plasman en el art. 1.2 b) de la Ley 1/2002 —antes transcrito y cuya constitucionalidad no pone en duda la Generalitat— precepto que, entre los criterios para valorar si una conducta “altera o puede alterar la libre competencia en un ámbito supraautonómico o en el conjunto del mercado nacional”, incluye el de que “obstaculice la libre circulación de bienes” o suponga “la compartimentación de los mercados”.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europeo, la comunicación de la Comisión 2004/C 101/07, que se menciona en la demanda, también prevé que, a la hora de determinar el posible efecto comunitario de una conducta restrictiva de la competencia, debe atenderse a si puede “compartimentar el mercado interior […] o los mercados a escala nacional, impidiendo la interpenetración económica que el Tratado pretende lograr” (parágrafos 78, 79 y 86). Acoge así una consolidada jurisprudencia europea (por todas, sentencia del Tribunal de Justicia de la Unión Europea de 19 de febrero de 2002, asunto C-309/99 Wouters y otros, parágrafo 95) que prohíbe toda práctica tendente a compartimentar o segmentar el mercado único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pretensión de crear mercados separados, en el caso que nos concierne un mercado catalán propio y desvinculado del español, debe ser analizada por el organismo responsable de garantizar la competencia en el mercado único afectado, en este caso, la CNMC.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al alcance de la conducta, la Generalitat argumenta que se localiza en Cataluña, ya que, tanto los consumidores como los proveedores a los que va dirigida, son del ámbito catalán. Sin embargo, hay que tener presente que el criterio decisivo no es la localización de la conducta o de los agentes que participan en ella, sino el alcance de los efectos que puede provocar sobre la competencia, al pretender dificultar la presencia en el mercado catalán de ciertos operadores por razones ajenas a los criterios de eficiencia de las prestaciones que deben prevalecer en 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tras recordar que la finalidad de la normativa europea y nacional sobre defensa de la competencia es “garantizar el libre juego en el mercado de los agentes económicos” en los ámbitos respectivos, la varias veces citada STC 208/1999 constata que la normativa comunitaria vela por prevenir las conductas “susceptibles de afectar al comercio entre Estados miembros […] [m]ientras que las legislaciones de estos serán aplicables en relación con el mercado nacional” (FJ 4); de forma que atribuye al Estado la competencia ejecutiva “aunque tales actuaciones se realicen en el territorio de cualquiera de las comunidades autónomas”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dicha razón, la STC 71/2012, FJ 6, declaró que correspondía al Estado aplicar la Ley de defensa de la competencia ya que la conducta allí analizada, aunque tenía lugar en la Comunidad de Madrid, trascendía el ámbito geográfico de la comunidad autónoma, al afectar a una línea de transporte internacional, de modo que tenía “consecuencias no solo en el territorio de la Comunidad de Madrid, sino también en el mercado supraautonómico de transporte de viajeros”.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campaña “Consumo estratégico”, la clave para concluir que sus efectos no se agotan en el territorio autonómico radica en que los principales perjudicados, en caso de lograr sus objetivos, serían operadores de ámbito nacional o, incluso, multinacional, como son muchas empresas del IBEX35, a las que se refiere explícitamente la campaña. Por consiguiente, pretende afectar a empresas de ámbito supraautonómico, que verían así dificultado y perturbado su acceso al mercado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aduce igualmente que los efectos reales de la campaña, en concreto, los cambios de contratos de suministros inducidos por ella han sido unos 148 000 (según datos de la propia ANC que mencionan tanto el dictamen de la Junta Consultiva —pág. 2— como el del Consejo de Garantías Estatutarias —pág. 46—), cifra que estima reducida, si se compara en términos relativos con el monto de cambios contractuales que se producen en un año (cita datos del Síndic de Greuges y de la CNMC).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foco debe ponerse en los efectos “potenciales” de la campaña, es decir, en la “capacidad” para producir efectos que “puedan afectar o dañar seriamente a un elemento tan decisivo en la economía de mercado como es la concurrencia entre empresas” (STC 88/1986, FJ 4). Y al respecto no podemos obviar que el instrumento de la web “Consum estratègic” le otorgaba la posibilidad de llegar a un altísimo porcentaje de los consumidores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para concluir que la campaña “puede afectar” a la competencia a nivel supraautonómico, basta constatar —y así lo admite la Generalitat— que durante su funcionamiento logró de facto su objetivo tendencial de sustituir a operadores de ámbito supraautonómico por otros de ámbito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desde la perspectiva de los servicios afectados también se confirma que la campaña puede afectar a la competencia más allá del ámbito autonómico e incluso al conjunto del mercado nacional, puesto que se dirige —según declara su sitio web— a los “sectores estratégicos de la economía” entre los que cita los de “electricidad, gas, comunicaciones y telefonía, bancos, seguros, carburantes, grandes superficies”.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duda de que son mercados fundamentales para la economía, muchos de ellos de carácter oligopolístico, lo que explica que, en mayor o menor grado, estén regulados por el legislador estatal, en el marco del Derecho de la Unión Europea, y sometidos a un régimen reforzado de supervisión para garantizar una competencia efectiva. Las empresas que operan en tales mercados son, en su mayoría, de ámbito nacional, cuando no multinacional. Y justamente en ellas se focaliza la campaña cuando declara que “de entrada, se priorizan los sectores regulados y de especial interés para la liberación de los ámbitos económicos y empresariales actualmente en manos del IBEX35”.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por los objetivos que persigue, su potencial alcance subjetivo y los servicios a los que se refiere, debemos concluir que, si la conducta imputada a la campaña “Consumo estratégico” fuera contraria a la Ley de defensa de la competencia —lo que, como dejamos sentado en el fundamento jurídico segundo, queda fuera del objeto de este proceso—, dichos efectos no podrían dejar de trascender al ámbito geográfico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debemos desestimar el conflicto positivo de competencia promovido por la Generalitat y declarar que la instrucción y resolución del procedimiento en disputa corresponde a la CNMC.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esta conclusión, es innecesario que nos pronunciemos sobre la medida cautelar que interesa mediante otrosí el escrito de demanda (por todos, ATC 128/2016, de 21 de junio,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desestimar el conflicto positivo de competencia núm. 2890-2020 planteado por la Generalitat de Cataluña contra el escrito de 3 de marzo de 2020 de la directora de competencia de la Comisión Nacional de los Mercados y la Competencia, por el que se requiere a la Autoridad Catalana de la Competencia la remisión del expediente “Campaña de Consumo Estratégico”.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Asimismo, procede declarar la titularidad de la competencia para el conocimiento del expediente RF 177 CAT 06-36-19, a la Comisión Nacional de los Mercados y la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