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19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691-2020, promovido por Euroinversiones Inmobiliaria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febrero de 2020, la entidad Euroinversiones Inmobiliaria Costa Sur, S.L., representada por la procuradora de los tribunales doña Blanca Berriatua Horta y bajo la dirección del letrado don Marcelino Gilabert García, interpuso recurso de amparo contra los autos dictados por el Juzgado de Primera Instancia e Instrucción núm. 4 de Lorca en el procedimiento de ejecución hipotecaria núm. 359-2018 en fechas 14 de noviembre de 2018 y 12 de diciembre de 2019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359-2018,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21 de junio de 2018 se acordó despachar ejecución frente a las sociedades demandadas. El citado auto y el decreto de la misma fecha que le sigue fueron comunicados a las citadas entidades a través de la sede judicial electrónica el día 26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 Costa Sur, S.L., presentó escrito de oposición a la ejecución despachada con fecha 30 de agosto de 2018. Por auto de 14 de noviembre de 2018 se acordó su inadmisión por presentación extemporánea, tomando como fecha de notificación el 26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26 de junio de 2018 sino, en su caso, a partir de esa fecha y hasta el 11 de agosto de 2018, dado que la comunicación remitida a través de la dirección electrónica habilitada no puede entenderse más que un aviso de puesta a disposición o descarga de su contenido durante un plazo determinado (en el caso desde el 26 de junio al 11 de agosto de 2018) y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tramitado y resuelto por auto de 12 de diciembre de 2019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Ley 39/2015 y el Real Decreto 1065/2015, de 27 de enero sobre comunicaciones electrónicas en la administración de justicia en el ámbito territorial del Ministerio de Justicia y por el que se regula el sistema LexNET; en su fundamento jurídico único concluye que “del propio documento núm. 1 aportado con el escrito interponiendo recurso de reposición y de las propias alegaciones vertidas por la recurrente, resulta la correcta recepción de la notificación en fecha 26 de junio de 2018, fecha en la que se materializó la “puesta a disposición” de la notificación correctamente y del propio documento resulta que pasaron más de tres días desde la misma sin que se hubiera accedido al contenido hasta el día 1 de agosto de 2018, por tanto, en aplicación estricta de lo dispuesto en el apartado segundo del art. 162 LEC, sin que se haya justificado por el recurrente una imposibilidad de acceder al sistema en este plazo. Por todo ello, debe ser desestimado el recurso interpuesto, al ser el auto recurrido plenamente ajustado a Derecho, al inadmitir un escrito que fue presentado fuera de plazo cuando ya había precluído la posibilidad de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común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26-06-2018 hasta el 11-08-2018. Si no procediera a su lectura en el plazo indicado se producirán los efectos correspondientes, según la normativa aplicable. Para que conste como leída, por favor acceda a http://notificaciones060.es Asunto: “JDO. 1 INST. E INSTR. N 4 DE LORCA EHJ/0000359/2018”.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julio de 2020 la Sección Primera de este tribunal acordó admitir a trámite el recurso de amparo y dirigir comunicación al Juzgado de Primera Instancia e Instrucción núm. 4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28 de julio de 2020, la parte demandante formuló sus alegaciones, reiterando lo dicho en el otrosí de su demanda y trascribiendo parte de los AATC 21/2018, de 5 de marzo; 58/2018, de 4 de junio, y 117/2018, de 29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1 de septiembre de 2020,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Al haberse personado en las actuaciones principales del recurso de amparo 691-2020 la procuradora de los tribunales doña María Claudia Munteanu, en nombre y representación de la entidad Pera Assets Designated Activity Company, de conformidad con lo prevenido en el art. 56 LOTC, por diligencia de ordenación del secretario de justicia de la Sala Primera de 14 de septiembre de 2020, se concede un plazo de tres días a dicha parte, para que dentro de ese término alegue lo que estime pertinente en relación con la petición de suspensión interesada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presentado el 21 de septiembre de 2020, la procuradora de los tribunales doña María Claudia Munteanu, en nombre y representación de Pera Assets Designated Activity Company presentó su escrito de alegaciones en el que se opone a la suspensión. Tras reproducir distintos autos del Tribunal Constitucional en los que se deniegan las suspensiones interesadas, señala que la recurrente se limita a solicitar la suspensión sin acreditar ningún tipo de perjuicio que pueda considerarse irreparable, teniendo como única finalidad la de entorpecer y demorar el procedimiento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359-2018,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recurridos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es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88/2018, de 17 de septiembre, y 2/2019, de 9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359-2018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