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161</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16 de noviembre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5160-2017, promovido por don Arnaldo Otegi Mondragón, representado por el procurador de los tribunales don Javier Cuevas Rivas y bajo la dirección del letrado don Iñigo Iruin Sanz, contra la sentencia de la Sala de lo Penal del Tribunal Supremo núm. 615/2017, de 14 de septiembre, por la que se desestima el recurso de casación núm. 271-2017 interpuesto contra el auto de la Sección Cuarta de la Sala de lo Penal de la Audiencia Nacional de 10 de enero de 2017, pronunciado en la ejecutoria núm. 21-2012, sobre liquidación de la pena de inhabilitación especial para el ejercicio del derecho de sufragio pasivo. Ha intervenido el Ministerio Fiscal.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Arnaldo Otegi Mondragón, representado por el procurador de los tribunales don Javier Cuevas Rivas y bajo la dirección del letrado don Iñigo Iruin Sanz, interpuso demanda de amparo contra las resoluciones judiciales que se citan en el encabezamiento, mediante escrito registrado en este tribunal el 24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sentencia de la Sala de lo Penal del Tribunal Supremo núm. 351/2012, de 7 de mayo, condenó al recurrente a las penas de (i) seis años y seis meses de prisión, (ii) inhabilitación especial para el ejercicio del derecho de sufragio pasivo por igual tiempo y (iii) inhabilitación especial para empleo o cargo público por tiempo de seis años y seis meses, al estimar parcialmente el recurso de casación núm. 11773-2011 interpuesto, entre otros, por el demandante de amparo contra la sentencia de la Sección Cuarta de la Sala de lo Penal de la Audiencia Nacional núm. 22/2011, de 16 septiembre, dictada en el rollo de sala núm. 95-2009. La STC 133/2014, de 22 de julio, desestimó el recurso de amparo interpuesto, entre otros, por el ahora demandante de amparo contra dicha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providencia de la Sección Cuarta de la Sala de lo Penal de la Audiencia Nacional de 24 de enero de 2013, pronunciada en la ejecutoria núm. 21-2012, aprobó la liquidación, entre otras, de las penas privativas de derechos impuestas al demandante de amparo tomando como fecha de inicio de cumplimiento el 4 de septiembre de 2014 y como fecha de extinción el 28 de febrero de 2021. Esta providencia no fue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de amparo solicitó, mediante escrito de 25 de octubre de 2016, nueva liquidación de condena de la pena de inhabilitación especial para el ejercicio del derecho de sufragio pasivo, argumentando su carácter de pena accesoria a la pena privativa de libertad. La petición fue rechazada por auto de 10 de enero de 2017 argumentando que debía estarse a lo acordado en la liquidación aprobada por la providencia de 24 de enero de 2013. Interpuesto recurso de casación, que fue tramitado por la Sala de lo Penal del Tribunal Supremo con el núm. 271-2017, fue desestimado por la sentencia de 14 de septiembre de 2017 al considerar que se estaba pretendiendo una reconsideración de una liquidación consentida y firme sin que concurriera un hecho sobrevenido que lo justificara.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STEDH de 6 de noviembre de 2018 (asunto Otegi Mondragón y otros c. España) estimó que las resoluciones judiciales en las que se condenó, entre otros, al demandante de amparo, de las que trae causa la liquidación que se controvierte en el presente recurso de amparo, habían vulnerado el artículo 6.1 del Convenio europeo de derechos humanos (CEDH), en su vertiente de derecho a un tribunal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sentencia de la Sala de lo Penal del Tribunal Supremo núm. 426/2020, de 27 de julio de 2020, pronunciada en el recurso de revisión núm. 20335-2019, solicitado al amparo del art. 954.3 de la Ley de enjuiciamiento criminal (LECrim) como consecuencia de la citada STEDH de 6 de noviembre de 2018, acordó declarar la nulidad de la sentencia de la Sala de lo Penal del Tribunal Supremo núm. 351/2012, de 7 de mayo, en la que se impuso la condena cuya liquidación se controvierte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solicita que se estime el recurso de amparo declarándose la nulidad de las resoluciones judiciales impugnadas, alegando que ha existido una vulneración del derecho a la tutela judicial efectiva (art. 24.1 CE), en relación con el derecho a la legalidad sancionadora (art. 25.1 CE), con fundamento en que las resoluciones impugnadas no han tomado en consideración que la liquidación impugnada, si bien estaba acordada en una resolución firme, no era intangible, y que la pena cuya liquidación se pretende revisar era una pena accesoria a la pena privativa de libertad y no una pena principal. Igualmente, se invoca el derecho de representación política (art. 23.2 CE), incidiendo en que la decisión impugnada mantiene vigente una causa de inelegibilidad que restringe de manera ilegítima este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afirma que la demanda de amparo tiene especial transcendencia constitucional, conforme a lo establecido en la STC 155/2009, de 25 de junio, ya que las vulneraciones alegadas plantean una cuestión novedosa en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por providencia de 26 de noviembre de 2018, acordó la admisión a trámite del recurso de amparo, apreciando que concurre una especial trascendencia constitucional porque el recurso plantea un problema o afecta a una faceta de un derecho fundamental sobre el que no hay doctrina de este tribunal [STC 155/2009, FJ 2 a)]; y, en aplicación de lo dispuesto por el art. 51 de la Ley Orgánica del Tribunal Constitucional (LOTC), requerir atentamente de los órganos judiciales la remisión de las actuaciones y el emplazamiento de quienes hubieran sido parte en el procedimiento, a excepción de la recurrente, para que pudiesen comparecer en el plazo de diez días en el citado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ordenación de 9 de enero de 2019, acordó dar vista de las actuaciones al Ministerio Fiscal y a las partes personadas por un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15 de febrero de 2019, formuló alegaciones interesando la inadmisión del recurso y, subsidiariamente, su desestimación. La petición de inadmisión se fundamenta en que la demanda estaría incursa en falta de agotamiento de la vía judicial previa [art. 50.1 a) LOTC], al no haberse promovido incidente excepcional de nulidad de actuaciones contra la sentencia de casación, a la que se imputan vulneraciones constitucionales autónomas respecto del auto recurrido en casación. La petición de desestimación se fundamenta en que las decisiones judiciales impugnadas son conformes a Derecho, tanto en lo relativo a la consideraciones sobre la firmeza e imposibilidad de modificación de la providencia por la que se acordó la liquidación de las penas de inhabilitación, ya que no concurrían circunstancias sobrevenidas a su aquietamiento con aquella decisión; como en lo referente a la fundamentación sobre su liquidación conjunta, ya que el derecho de sufragio pasivo resultaba también afectado por la pena principal de inhabilitación absoluta. De ese modo, se concluye el rechazo de la invocación del derecho a la representación política al derivar de la aplicación de una previsión legal, en que no se ha incurrido en vulneración de ningún otro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de amparo, por escrito de 4 de febrero de 2019, formuló alegaciones reiterando las formuladas en su demanda de amparo, poniendo de manifiesto que el pronunciamiento de la STEDH de 6 de noviembre de 2018 (asunto Otegi Mondragón y otros c. España), en la que se estima que se ha vulnerado el artículo 6.1 CEDH en su vertiente de derecho a un tribunal imparcial, en la resolución judicial en la que se condena al recurrente a la pena de inhabilitación cuya liquidación se impugna en el presente recurso de amparo, no le hace perder su objeto, a pesar de la posibilidad de pedir la revisión de la condena en aplicación del art. 954.3 LECrim, por la diferente naturaleza y alcance de ambos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Sección Cuarta de este tribunal, por providencia de 3 de marzo de 2020, acordó interesar de la Sala de lo Penal del Tribunal Supremo la remisión de copia de la resolución que recayera en el recurso de revisión núm. 20335-2019 instado por el demandante, al amparo del art. 954.3 LECrim como consecuencia de la STEDH de 6 de noviembre de 2018, contra la sentencia de la Sala de lo Penal del Tribunal Supremo núm. 351/2012, de 7 de mayo de 2012, en que se impuso la condena cuya liquidación se controvertía en el recurso de amparo; lo que fue cumplimentado mediante oficio de 17 de septiembre de 2020, en que se adjuntó la certificación de la sentencia de la Sala de lo Penal del Tribunal Supremo núm. 426/2020, de 27 de julio, que acordaba la nulidad de la citada sentencia núm. 351/2012, de 7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12 de noviembre de 2020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Pérdida sobrevenida de objeto del recurso de amparo: El objeto de este recurso de amparo es determinar si las resoluciones judiciales impugnadas han vulnerado los derechos del recurrente a la tutela judicial efectiva (art. 24.1 CE), en relación con el derecho a la legalidad sancionadora (art. 25.1 CE), y a la representación política (art. 23.2 CE), al haber denegado al recurrente la solicitud de modificación de la liquidación de condena de las penas privativas de derechos impuestas por la sentencia de la Sala de lo Penal del Tribunal Supremo núm. 351/2012, de 7 de mayo, al estimar parcialmente el recurso de casación núm. 11773-2011 interpuesto, entre otros, por el demandante de amparo contra la sentencia de la Sección Cuarta de la Sala de lo Penal de la Audiencia Nacional núm. 22/2011, de 16 septiembre de 2011, dictada en el rollo de sala núm. 95-2009.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ha sido desarrollado en los antecedentes, la citada sentencia de la Sala de lo Penal del Tribunal Supremo núm. 351/2012, de 7 de mayo, que impuso las penas privativas de derechos cuya liquidación se controvierten en el presente recurso de amparo, ha sido anulada por la de la Sala de lo Penal del Tribunal Supremo núm. 426/2020, de 27 de julio, al estimarse el recurso de revisión núm. 20335-2019 instado por el demandante, al amparo del art. 954.3 LECrim, con fundamento en la STEDH de 6 de noviembre de 2018 (asunto Otegi Mondragón y otros c. España). Esta circunstancia determina la extinción del presente recurso de amparo por pérdida sobrevenida de objeto, ya que la anulación de la sentencia condenatoria implica una alteración sustancial de la controversia relativa a la ejecutoria de las penas impuestas que hace innecesario un pronunciamiento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esos efectos, es preciso recordar que es reiterada la jurisprudencia constitucional sobre que (i) la desaparición sobrevenida del objeto del proceso, aun cuando no contemplada expresamente en el artículo 86.1 LOTC, es una de las formas de terminación de los distintos procesos constitucionales, y (ii) que el recurso de amparo se configura como un remedio jurisdiccional idóneo únicamente para la reparación de lesiones singulares y efectivas de los derechos fundamentales, por lo que cuando la pretensión dirigida al restablecimiento o la preservación de aquellos derechos se ha visto satisfecha fuera del propio proceso de amparo, debe concluirse que este carece desde ese momento de objeto sobre el que deba pronunciarse este tribunal (así, por ejemplo, STC 52/2019, de 11 de abril, FJ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declarar la extinción del recurso por pérdida sobrevenida de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noviembre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