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30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el magistrado don Andrés Ollero Tassara y la magistrada doña María Luisa Balaguer Callejón, en el recurso de amparo núm. 4136-2020, promovido por don José Manuel Ramírez Sineiro,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4136-2020 se impugna la sentencia de la Sección Sexta de la Sala de lo Contencioso-Administrativo del Tribunal Supremo de 14 de noviembre de 2019 y la providencia de 8 de julio de 2020 dictada por la misma Sección por la que se inadmite el incidente de nulidad de actuaciones interpuesto contra la referida sentencia, dictadas en el recurso contencioso administrativo núm. 257-2018. Asimismo se impugnan el acuerdo de 12 de abril del 2018, adoptado por la Comisión Permanente del Consejo General del Poder Judicial (recurso de alzada núm. 467-2017), y el acuerdo de fecha 9 de noviembre del 2017, adoptado por el presidente de la Sala de lo Contencioso-Administrativo del Tribunal Superior de Justicia de Galicia, y el acuerdo de 23 de enero del 2018, dictado por el presidente de la Sección Segunda de dicha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30 de octubre de 2020 el magistrado don Santiago Martínez-Vares García comunicó a los efectos oportunos que se abstenía de intervenir en el antes indicado recurso de amparo, de conformidad con el artículo 80 de la Ley Orgánica del Tribunal Constitucional, por concurrir la causa de abstención prevista en el artículo 219.9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Santiago Martínez-Vares García, magistrado de esta Sección Segunda del Tribunal Constitucional, la Sección, en virtud de lo previsto en el artículo 219.9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Santiago Martínez-Vares García en el recurso de amparo núm. 4136-2020,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