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16 de noviembre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y don Cándido Conde-Pumpido Tourón y la magistrada doña María Luisa Balaguer Callejón, en el recurso de amparo núm. 6090-2019, promovido por la entidad Euroinversiones Inmobiliarias Costa Sur, S.L., en autos del Juzgado de Primera Instancia e Instrucción núm. 5 de Lorca,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25 de octubre de 2019, la entidad Euroinversiones Inmobiliarias Costa Sur, S.L., representada por la procuradora de los tribunales doña Blanca Berriatua Horta y bajo la dirección del letrado don Marcelino Gilabert García, interpuso recurso de amparo contra los autos de 21 de septiembre de 2018 y de 10 de septiembre de 2019, dictados por el Juzgado de Primera Instancia e Instrucción núm. 5 de Lorca, en el procedimiento de ejecución hipotecaria núm. 385-2018, por los que, respectivamente, se inadmite por extemporánea la demanda de oposición formulada y se confirma esta última decisión, tras desestimarse el recurso de reposición interpuesto frente a ella.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relevantes para resolver la pretensión planteada, según se recogen en la demanda y en la documentación aportada,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el Juzgado de Primera Instancia e Instrucción núm. 5 de Lorca se sigue procedimiento de ejecución hipotecaria núm. 385-2018 promovido por la entidad Banco de Sabadell, S.A., frente a las sociedades Euroinversiones Inmobiliarias Costa Sur, S.L., en calidad de prestataria e hipotecante, y Penrei Inversiones, S.L., en calidad de titular registral de un derecho de uso y disfrute sobre el inmueble hipotecado, la finca registral 43.361 del registro de la propiedad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auto de 7 de junio de 2018 se acordó despachar ejecución frente las sociedades demandadas por la cantidad de 8199,12 € de principal y 4510 € como intereses y costas presupuestados. El servicio de notificaciones de la Fábrica Nacional de Moneda y Timbre remitió a la demandante de amparo, a través de la dirección electrónica habilitada, un aviso de notificación del citado auto que le fue comunicado por dicho medio el 13 de junio de 2018. En dicha comunicación se informa que la notificación estará disponible hasta el 29 de julio del mismo año, accediendo la recurrente de amparo efectivamente a la página web y a la notificación dentro del plazo en que la misma se encontraba disponible.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legal de Euroinversiones Inmobiliarias Costa Sur, S.L., presentó escrito de oposición a la ejecución despachada con fecha 25 de julio de 2018. Por auto de 21 de septiembre de 2018 se acordó su inadmisión por considerar la pretensión extemporánea, tomando como fecha de notificación el 13 de junio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La sociedad mercantil recurrente interpuso recurso de reposición contra el auto de inadmisión alegando, en síntesis, que las actuaciones de notificación y requerimiento no habían sido realizadas el día 13 de junio de 2018, sino en la fecha en que accedió a la web y procedió a su descarga, y que la comunicación remitida a través de la dirección electrónica habilitada no puede entenderse más que un aviso de puesta a disposición o descarga de su contenido durante un plazo determinado (en el caso desde el 13 de junio hasta el 29 de julio de 2018), pues entenderlo de otro modo, además de infringir los arts. 135, 152, 160, 162 de la Ley de enjuiciamiento civil (LEC), vulnera 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Tras su tramitación, el recurso de reposición fue desestimado por auto de 10 de septiembre de 2019. Según esta resolución, la recurrente tiene la condición de persona jurídica y, por tanto, está obligada a relacionarse con la administración de justicia por medios electrónicos, de conformidad con lo previsto en la disposición transitoria cuarta de la Ley 42/2015, de 5 de octubre, de reforma de la Ley 1/2000, de 7 de enero, de enjuiciamiento civil, así como en los arts. 14.2 de la Ley 39/2015 y 373.3 LEC. Según el auto, en el presente caso “consta que la notificación se puso a disposición de las recurrentes en fecha 13/06/2018, no accediendo al contenido hasta el día 24/07/2018 (fuera de los tres días que establece la normativa procesal), presentando los escritos de oposición a la ejecución en fecha 25/07/2018, claramente fuera del plazo legalmente establecido en el art. 556.1 de la LEC (dentro de los diez días siguientes al de la notificación del auto despachando ejecución) y siendo que, conforme al art. 136 de la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se queja en su recurso de la vulneración de su derecho a la tutela judicial efectiva sin indefensión (art. 24.1 CE) en su vertiente de acceso al proceso. Considera que con la interpretación ofrecida en el auto objeto de impugnación, el juzgado “no ha dado cumplimiento a las exigencias constitucionales reconocidas para los actos de notificación procesal, donde los órganos judiciales no han de limitarse al formal cumplimiento de los requisitos legales, sino que para asegurar la efectividad del derecho fundamental, la interpretación de las normas reguladoras del emplazamiento debe hacerse tratando de asegurar que el acto de comunicación cumple su finalidad constitucional, es decir, la efectividad real del emplazamiento, pues el artículo 24.1 de la Constitución Española contiene un mandato no sólo dirigido al legislador, sino también al intérprete, obligándole a promover la defensa mediante la correspondiente contradicción, tal y como reconoce la sentencia 37/1984 del Tribunal Constitucional”. Justifica la especial trascendencia constitucional aludiendo a la novedosa implantación de procesos de notificación por medios electrónicos en el ámbito de la jurisdicción civil en relación con las exigencias procesales derivadas de la regulación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demanda se solicita por medio de segundo otrosí la suspensión de la continuación del procedimiento de ejecución hipotecaria alegando que “con la celebración de subasta y la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15 de junio de 2020 la Sección Segunda de este tribunal acordó no admitir a trámite el recurso de amparo por no apreciar en el mismo la especial trascendencia constitucional que, como condición para su admisión, requiere el art. 50.1 b) de la Ley Orgánica del Tribunal Constitucional (LOTC) (STC 155/2009, de 25 de junio, FJ 2). Dicha providencia se dejó sin efecto en virtud del auto de 18 de septiembre de 2020 que estimó el recurso de súplica interpuesto contra la misma por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sendas providencias de 21 de septiembre de 2020 la Sección Segunda de este tribunal acordó admitir a trámite el recurso de amparo y dirigir comunicación al Juzgado de Primera Instancia e Instrucción núm. 5 de Lorca, a fin de que, en plazo que no exceda de diez días, remitiera certificación o fotocopia adverada de las actuaciones correspondientes a los autos de ejecución hipotecaria y emplazara por el mismo plazo a quienes hubieran sido parte en el proceso del que trae causa el presente recurso de amparo; por otra parte se acordaba formar pieza separada para la tramitación de la suspensión del procedimiento de ejecución hipotecaria solicitada en el recurso y conceder plazo común de tres días al Ministerio Fiscal y al solicitante de amparo de conformidad con lo prevenido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7 de octubre de 2020 la parte demandante formuló sus alegaciones, reiterando lo expuesto en el otrosí de su demanda y trascribiendo como fundamento de su pretensión lo expresado en parte de los AATC 21/2018, de 5 de marzo, 58/2018, de 4 de junio y 117/2018, de 29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registrado el 20 de octubre de 2020, el Ministerio Fiscal se opuso a la pretendida suspensión del procedimiento de ejecución hipotecaria, e interesó que, alternativamente, se acuerde la anotación preventiva de la demanda de amparo en el registro de la propiedad, aunque esta última medida no haya sido solicitada en el recurso. Tras exponer la doctrina de este tribunal sobre suspensión de resoluciones y actos impugnados, aduce que en el presente caso la petición del demandante no parece muy fundada, sostiene que acordar la suspensión comportaría la paralización del procedimiento ejecutivo, que por su propia naturaleza goza de las características de celeridad y sumariedad. Considera mucho más eficaz la anotación preventiva de la demanda en el registro de la propiedad, pues a través de dicha medida cautelar es posible evitar que un hipotético tercer adquirente del inmueble hipotecado, en virtud de su buena fe registral, quede especialmente protegido, perjudicando así los intereses concernidos.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suspensión cautelar instada por la parte recurrente en amparo y dirigida frente al procedimiento de ejecución hipotecaria núm. 385-2018, seguido en el Juzgado de Primera Instancia e Instrucción núm. 5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esta razón, la pretensión cautelar analizada se configura como una medida de carácter excepcional y de aplicación restrictiva (por todos, AATC 117/2015, de 6 de julio, FJ 1; 59/2017, de 24 de abril, FJ 1, y 177/2019, de 16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59/2017, FJ 1; 147/2017, de 13 de noviembre, FJ 1, y 177/2019,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13 de febrero, FJ 2; 74/2013, de 8 de abril, FJ 2; 152/2013, de 8 de julio, FJ 2; 282/2014, de 17 de noviembre, FJ 4; 59/2015, de 16 de marzo, FJ 2, y 177/2019,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a la que se ha hecho mención permite concluir, de acuerdo con lo solicitado por el Ministerio Fiscal, que resulta improcedente la suspensión solicitada del procedimiento de ejecución hipotecaria y, por el contrario, medida idónea la anotación preventiva de la demanda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igual que en procesos de amparo precedentes (AATC 81/2019, de 15 de julio; 148/2019, 155/2019 y 156/2019, de 25 de noviembre, FJ 3, y 170/2019, 171/2019, 173/2019, 174/2019 y 177/2019 de 16 de diciembre, FJ 3), la parte recurrente se limita a poner de manifiesto, genéricamente, que la eventual adjudicación a terceros puede hacer perder al recurso de amparo su finalidad, sin añadir indicación alguna sobre la situación y circunstancias de la entidad mercantil recurrente, así como sobre las características, destino y estado posesorio del inmueble hipotecado. De las actuaciones judiciales que han sido remitidas por el juzgado se desprende que al solicitarse el amparo el procedimiento se encontraba en la fase inicial, una vez rechazada la oposición a la ejecución. En tales circunstancias no es posible afirmar que la continuación del curso del procedimiento judicial, incluso si se produjera un desplazamiento posesorio, provoque por sí sola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como se anticipó, se reputa medida suficiente e idónea para evitar el perjuicio derivado de que la adquisición del bien por tercero lo haga irreivindicable. Esta misma ha sido la solución acogida recientemente, entre otros, en los AATC 148/2019, 155/2019 y 156/2019, FJ 3, y 170/2019, 171/2019, 173/2019, 174/2019 y 177/2019,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hicimos en el fundamento tercero de los mencionados autos, cabe recordar que se trata de una medida cautelar que este tribunal, de conformidad con el art. 56 LOTC, puede adoptar de oficio o a instancia de parte, con fundamento en el art. 42.1 de la Ley hipotecaria (AATC 274/2002, de 18 de diciembre; 257/2003, de 14 de julio; 230/2007, de 7 de mayo, FJ 3; 415/2007, de 5 de noviembre, FJ 4, y 28/2009, de 26 de enero, FJ 2), y que, de acuerdo con el ATC 95/2015, el FJ 4, “una de cuyas finalidades es que el registro de la propiedad sea fiel trasunto de la realidad jurídica —en este caso, la pendencia del presente proceso constitucional—y, por ende, un eficaz instrumento de seguridad jurídica (ATC 18/2012, de 30 de enero, FJ 4. En la misma línea, AATC 282/2014, de 17 de noviembre, FJ 5; 29/2015, de 16 de febrero, FFJJ 3 y 4; 50/2015, de 2 de marzo, FJ 4, y 59/2015, de 16 de marzo, FJ 3). Nuestra decisión en esta materia al ordenar que se practique la anotación preventiva, remite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385-2018, seguido en el Juzgado de Primera Instancia e Instrucción núm. 5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