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142</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16 de noviembre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y don Cándido Conde-Pumpido Tourón, y la magistrada doña María Luisa Balaguer Callejón, en el recurso de amparo núm. 7513-2019, promovido por la entidad Euroinversiones Inmobiliarias Costa Sur, S.L., en autos del Juzgado de Primera Instancia e Instrucción núm. 4 de Lorca,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26 de diciembre de 2019, la entidad Euroinversiones Inmobiliarias Costa Sur, S.L., representada por la procuradora de los tribunales doña Blanca Berriatua Horta y bajo la dirección del letrado don Marcelino Gilabert García, interpuso recurso de amparo contra los autos de 14 de noviembre de 2018 y de 30 de octubre de 2019, dictados por el Juzgado de Primera Instancia e Instrucción núm. 4 de Lorca, en el procedimiento de ejecución hipotecaria núm. 358-2018, por los que, respectivamente, se inadmite por extemporánea la demanda de oposición formulada y se confirma esta última decisión, tras desestimarse el recurso de reposición interpuesto frente 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resolver la pretensión planteada, según se recogen en la demanda y en la documentación aportada,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Juzgado de Primera Instancia e Instrucción núm. 4 de Lorca se sigue procedimiento de ejecución hipotecaria núm. 358-2018 promovido por la entidad Banco de Sabadell, S.A., frente a las sociedades Euroinversiones Inmobiliarias Costa Sur, S.L., en calidad de prestataria e hipotecante, y Penrei Inversiones, S.L., en calidad de titular registral de un derecho de uso y disfrute sobre el inmueble hipotecado, la finca registral 43.278 del registro de la propiedad núm. 3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auto de 18 de junio de 2018 se acordó despachar ejecución frente las sociedades demandadas por la cantidad de 8 199,12 € de principal y 2 459,73 € como intereses y costas presupuestados. El servicio de notificaciones de la Fábrica Nacional de Moneda y Timbre remitió a la demandante de amparo, a través de la dirección electrónica habilitada, un aviso de notificación del citado auto que le fue comunicado por dicho medio el 20 de junio de 2018. En dicha comunicación se informa que la notificación estará disponible hasta el 31 de agosto del mismo año, accediendo la recurrente de amparo efectivamente a la página web y a la notificación dentro del plazo en que la misma se encontraba disponible.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representación legal de Euroinversiones Inmobiliarias Costa Sur, S.L., presentó escrito de oposición a la ejecución despachada, con fecha 27 de agosto de 2018. Por auto de 14 de noviembre de 2018 se acordó su inadmisión por considerar la pretensión extemporánea, tomando como fecha de notificación el 20 de junio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sociedad mercantil recurrente interpuso recurso de reposición contra el auto de inadmisión alegando, en síntesis, que las actuaciones de notificación y requerimiento no habían sido realizadas el día 20 de junio de 2018, sino el 27 de julio, la fecha en que accedió a la web y procedió a su descarga, y que la comunicación remitida a través de la dirección electrónica habilitada no puede entenderse más que un aviso de puesta a disposición o descarga de su contenido durante un plazo determinado (en el caso desde el 20 de junio hasta el 5 de agosto de 2018), pues entenderlo de otro modo, además de infringir los arts. 135, 152, 160, 162 de la Ley de enjuiciamiento civil (LEC), vulnera 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Tras su tramitación, el recurso de reposición fue desestimado por auto de 30 de octubre de 2019. Según esta resolución, la recurrente tiene la condición de persona jurídica y, por tanto, está obligada a relacionarse con la administración de justicia por medios electrónicos. “Así, pese a las alegaciones del recurrente que pretende mantener que el escrito de oposición fue presentado en plazo para ello por entender que el auto despachando la ejecución y el requerimiento efectuado debe entenderse notificado en fecha 27 de julio de 2018, en la que se accedió efectivamente a las citadas resoluciones, lo cierto es que debe tenerse en cuenta la fecha en la que efectivamente tuvo la parte posibilidad de acceder a las mismas, de lo contrario se estaría dejando al arbitrio de las partes obligadas a utilizar el sistema electrónico de comunicaciones el cumplimiento de los plazos procesales dispuesto en la normativa” [sic].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se queja en su recurso de la vulneración de su derecho a la tutela judicial efectiva sin indefensión (art. 24.1 CE) en su vertiente de acceso al proceso. Considera que con la interpretación ofrecida en el auto objeto de impugnación, el juzgado “no ha dado cumplimiento a las exigencias constitucionales reconocidas para los actos de notificación procesal, donde los órganos judiciales no han de limitarse al formal cumplimiento de los requisitos legales, sino que para asegurar la efectividad del derecho fundamental, la interpretación de las normas reguladoras del emplazamiento debe hacerse tratando de asegurar que el acto de comunicación cumple su finalidad constitucional, es decir, la efectividad real del emplazamiento, pues el artículo 24.1 de la Constitución Española contiene un mandato no sólo dirigido al legislador, sino también al intérprete, obligándole a promover la defensa mediante la correspondiente contradicción, tal y como reconoce la sentencia 37/1984 del Tribunal Constitucional”. Justifica la especial trascendencia constitucional aludiendo a la novedosa implantación de procesos de notificación por medios electrónicos en el ámbito de la jurisdicción civil en relación con las exigencias procesales derivadas de la regulación de la Ley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solicita por medio de segundo otrosí la suspensión de la continuación del procedimiento de ejecución hipotecaria alegando que “con la celebración de subasta y la eventual adjudicación a terceros, pueden hacer perder al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15 de junio de 2020 la Sección Segunda de este tribunal acordó no admitir a trámite el recurso de amparo por no apreciar en el mismo la especial trascendencia constitucional que, como condición para su admisión, requiere el art. 50.1 b) de la Ley Orgánica del Tribunal Constitucional (STC 155/2009, de 25 de junio, FJ 2). Dicha providencia se dejó sin efecto en virtud del auto de 18 de septiembre de 2020 que estimó el recurso de súplica interpuesto contra la misma por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sendas providencias de 21 de septiembre de 2020 la Sección Segunda de este tribunal acordó admitir a trámite el recurso de amparo y dirigir comunicación al Juzgado de Primera Instancia e Instrucción núm. 4 de Lorca, a fin de que, en plazo que no exceda de diez días, remitiera certificación o fotocopia adverada de las actuaciones correspondientes a los autos de ejecución hipotecaria y emplazara por el mismo plazo a quienes hubieran sido parte en el proceso del que trae causa el presente recurso de amparo; por otra parte se acordaba formar pieza separada para la tramitación de la suspensión del procedimiento de ejecución hipotecaria solicitada en el recurso y conceder plazo común de tres días al Ministerio Fiscal y al solicitante de amparo de conformidad con lo prevenido en el art. 56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el 7 de octubre de 2020 la parte demandante formuló sus alegaciones, reiterando lo expuesto en el otrosí de su demanda y trascribiendo como fundamento de su pretensión lo expresado en parte de los AATC 21/2018, de 5 de marzo, 58/2018, de 4 de junio, y 117/2018, de 29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escrito registrado el 22 de octubre de 2020, el Ministerio Fiscal se opuso a la pretendida suspensión del procedimiento de ejecución hipotecaria, e interesó que, alternativamente, se acuerde la anotación preventiva de la demanda de amparo en el registro de la propiedad, aunque esta última medida no haya sido solicitada en el recurso. Tras exponer la doctrina de este tribunal sobre suspensión de resoluciones y actos impugnados, aduce que en el presente caso la petición del demandante no parece muy fundada, sostiene que acordar la suspensión comportaría la paralización del procedimiento ejecutivo, que por su propia naturaleza goza de las características de celeridad y sumariedad. Considera mucho más eficaz la anotación preventiva de la demanda en el registro de la propiedad, pues a través de dicha medida cautelar es posible evitar que un hipotético tercer adquirente del inmueble hipotecado, en virtud de su buena fe registral, quede especialmente protegido, perjudicando así los intereses concernidos.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suspensión cautelar instada por la parte recurrente en amparo y dirigida frente al procedimiento de ejecución hipotecaria núm. 358-2018, seguido en el Juzgado de Primera Instancia e Instrucción núm. 4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Por esta razón, la pretensión cautelar analizada se configura como una medida de carácter excepcional y de aplicación restrictiva (por todos, AATC 117/2015, de 6 de julio, FJ 1; 59/2017, de 24 de abril, FJ 1, y 177/2019, de 16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FJ 1; 147/2017, de 13 de noviembre, FJ 1, y 177/2019,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13 de febrero, FJ 2; 74/2013, de 8 de abril, FJ 2; 152/2013, de 8 de julio, FJ 2; 282/2014, de 17 de noviembre, FJ 4; 59/2015, de 16 de marzo, FJ 2, y 177/2019,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aquellos,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aquí planteado de la doctrina a la que se ha hecho mención permite concluir, de acuerdo con lo solicitado por el Ministerio Fiscal, que resulta improcedente la suspensión solicitada del procedimiento de ejecución hipotecaria y, por el contrario, medida idónea la anotación preventiva de la demanda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igual que en procesos de amparo precedentes (AATC 81/2019, de 15 de julio; 148/2019, 155/2019 y 156/2019, de 25 de noviembre, FJ 3, y 170/2019, 171/2019, 173/2019, 174/2019 y 177/2019 de 16 de diciembre, FJ 3), la parte recurrente se limita a poner de manifiesto, genéricamente, que la eventual adjudicación a terceros puede hacer perder al recurso de amparo su finalidad, sin añadir indicación alguna sobre la situación y circunstancias de la entidad mercantil recurrente, así como sobre las características, destino y estado posesorio del inmueble hipotecado. De las actuaciones judiciales que han sido remitidas por el juzgado se desprende que al solicitarse el amparo el procedimiento se encontraba en la fase inicial, una vez rechazada la oposición a la ejecución. En tales circunstancias no es posible afirmar que la continuación del curso del procedimiento judicial, incluso si se produjera un desplazamiento posesorio, provoque por sí sola un perjuicio determinante de la perdida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como se anticipó, se reputa medida suficiente e idónea para evitar el perjuicio derivado de que la adquisición del bien por tercero lo haga irreivindicable. Esta misma ha sido la solución acogida recientemente, entre otros, en los AATC 148/2019, 155/2019 y 156/2019, FJ 3, y 170/2019, 171/2019, 173/2019, 174/2019 y 177/2019,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hicimos en el fundamento tercero de los mencionados autos, cabe recordar que se trata de una medida cautelar que este tribunal, de conformidad con el art. 56 LOTC, puede adoptar de oficio o a instancia de parte, con fundamento en el art. 42.1 de la Ley hipotecaria (AATC 274/2002, de 18 de diciembre; 257/2003, de 14 de julio; 230/2007, de 7 de mayo, FJ 3; 415/2007, de 5 de noviembre, FJ 4, y 28/2009, de 26 de enero, FJ 2), y que, de acuerdo con el ATC 95/2015, FJ 4, “una de cuyas finalidades es que el registro de la propiedad sea fiel trasunto de la realidad jurídica —en este caso, la pendencia del presente proceso constitucional—y, por ende, un eficaz instrumento de seguridad jurídica (ATC 18/2012, de 30 de enero, FJ 4. En la misma línea, AATC 282/2014, de 17 de noviembre, FJ 5; 29/2015, de 16 de febrero, FFJJ 3 y 4; 50/2015, de 2 de marzo, FJ 4, y 59/2015, de 16 de marzo, FJ 3)”. Nuestra decisión en esta materia al ordenar que se practique la anotación preventiva, remite al órgano judicial la práctica de las actuaciones pertinentes para que pueda llevarse a efecto la medida, de conformidad con la legislación procesal e hipotecaria (AATC 257/2003, de 14 de julio; 406/2003, de 15 de diciembre; 230/2007, de 7 de mayo, FJ 3; 415/2007, de 5 de noviembre, FJ 4, y 217/2012, de 26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358-2018, seguido en el Juzgado de Primera Instancia e Instrucción núm. 4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noviembre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