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19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7579-2019, promovido por la entidad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14 de julio de 2020, el fiscal ante el Tribunal Constitucional interpuso recurso de súplica contra la providencia de 15 de junio de 2020, en la que se decidió la inadmisión a trámite del recurso de amparo núm. 7579-2019, interpuesto por Euroinversiones Inmobiliarias Costa Sur, S.L., contra los autos de 20 de noviembre de 2018 y de 11 de septiembre de 2019, dictados por el Juzgado de Primera Instancia e Instrucción núm. 4 de Lorca, en el procedimiento de ejecución hipotecaria núm. 362-2018.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362-2018,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43.433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26 de junio de 2018 se acordó despachar ejecución frente a las sociedades demandadas por la cantidad de 8199,12 € de principal y 2459,73 €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3 de julio de 2018. En dicha comunicación se informa que la notificación estará disponible hasta el 18 de agosto del mismo año, accediendo la recurrente de amparo efectivamente a la página web y a la notificación dentro del plazo en que la misma se encontraba disponible, concretamente el 3 de agosto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31 de agosto de 2018. Por auto de 20 de noviembre de 2018 se acordó su inadmisión por considerar la pretensión extemporánea, tomando como fecha de notificación el 29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habían de considerarse realizadas en la fecha en que accedió a la web y procedió a su descarga, y que la comunicación remitida a través de la dirección electrónica habilitada no puede entenderse más que un aviso de puesta a disposición o descarga de su contenido durante un plazo determinado, pues entenderlo de otro modo vulnera el art. 24 CE. Tras su tramitación el recurso de reposición fue desestimado por auto de 11 de septiembre de 2019, notificándose el auto por Lexnet el 13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registrado en este tribunal el 30 de diciembre de 2019, la entidad Euroinversiones Inmobiliarias Costa Sur, S.L., representada por la procuradora de los tribunales doña Blanca Berriatua Horta y bajo la dirección del letrado don Marcelino Gilabert García, interpuso recurso de amparo contra los autos de 20 de noviembre de 2018 y de 11 de septiembre de 2019, dictados por el Juzgado de Primera Instancia e Instrucción núm. 4 de Lorca, en el procedimiento de ejecución hipotecaria núm. 362-2018. La demandante de amparo se queja en su recurso de la vulneración de su derecho a la tutela judicial efectiva sin indefensión (art. 24.1 CE) en su vertiente de acceso al proceso. También se menciona en la demanda de amparo “la recientísima sentencia del Tribunal Constitucional 47/2019, de 8 de abril, que no solo confirma todo lo dicho hasta ahora sino que lo refuerza” y cuyos fundamentos jurídicos 2 y 3 reproduce en su totalidad. Por medio de otrosí, solicitó la suspensión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Tras la admisión a trámite de numerosos recursos de amparo de contenido idéntico o muy similar, la Sección Segunda del Tribunal Constitucional apreció que la resolución de la presente demanda de amparo no revestía especial trascendencia constitucional [art. 50.1 b) de la Ley Orgánica del Tribunal Constitucional (LOTC)]. Mediante providencia de 15 de junio de 2020, la Sección acordó no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interpuso recurso de súplica ex art. 50.3 LOTC contra la providencia de 15 de junio de 2020, interesando que se dejara esta sin efecto, dictándose otra en su lugar admitiendo el recurso de amparo. El Ministerio Fiscal argumenta en su recurso que el contenido de la demanda es idéntico al de otras muchas interpuestas por la misma demandante o por Penrei Inversiones,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15 de julio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23 de julio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del Ministerio Fiscal, procede estimar el recurso de súplica interpuesto y dejar sin efecto, en consecuencia, la providencia de esta Sección de 15 de junio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siguiendo el argumento del Ministerio Fiscal, al dictarse la providencia de inadmisión, otras secciones de este tribunal estaban admitiendo a trámite demandas idénticas a la actual apreciando la concurrencia de la causa de especial trascendencia a la que ya nos hemos referido [la señalada en la STC 155/2009, FJ 2 a)], y de una eventual futura estimación de estas demandas se derivaría una contradicción lesiva de la seguridad jurídica de la mercantil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razones de economía procesal pueden aconsejar que, tras examinar nuevamente la demanda de amparo, la Sección acuerde su admisión (ATC 239/2014, de 10 de octubre) en el propio auto estimatorio del recurso de súplica. En este caso, examinada nuevamente la demanda de amparo, procede acordar su 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15 de junio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núm. 7579-2019 interpuesto por Euroinversiones Inmobiliarias Costa Sur, S.L.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Formar la pieza separada para la tramitación del incidente de suspensión, concediendo plazo común de tres días a la parte recurrente y al Ministerio Fiscal para que aleguen lo que estimen oportuno (art. 56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