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6820-2019, promovido por don Mourad Hlal,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noviembre de 2019, don Mourad Hlal, representado por la procuradora de los tribunales doña Jennifer Vicente Benito, bajo la dirección de la letrada doña Sonia Ruiz Higes, interpuso recurso de amparo contra el auto del Juzgado de Primera Instancia núm. 1 de Guadalajara de 11 de octubre de 2019, pronunciado en el juicio verbal de desahucio núm. 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solicita la suspensión del procedimiento de ejecución de título judicial núm. 102-2018, al que ha dado lugar la sentencia dictada en el juicio verbal de desahucio núm. 4-2018, argumentando que como consecuencia del mismo se encuentra embargada su nómina.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17 de septiembre de 2020,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 los recurrentes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13 de octubre de 2020, presentó alegaciones interesando que no se proceda a la suspensión solicitada por no acreditarse la existencia de daños irreversibles o de muy difícil reparación que impidan indemnizar el perjuicio económico aducido ni la efectividad de la restauración del derecho fundamental vulnerado, en caso de un eventual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10 de noviembre de 2020, presentó alegaciones argumentado que (i) ya le había sido embargado de su salario la totalidad del principal de la cantidad adeudada, estando todavía pendiente “la ulterior liquidación de intereses y costas de la contraparte, la cual se ha interesado se proceda a practicar ya por la parte demandante”; (ii) que esta circunstancia ha supuesto desatender a las necesidades de su familia, siendo el único integrante del núcleo familiar que desempeña un trabajo remunerado, y (iii) “de no suspenderse el curso de las actuaciones el recurso perdería parte de su esencia, pues una de las consecuencias nefastas que produjo la actuación por la cual se vulneró el derecho a un proceso con las debidas garantías sin indefensión, fue el gran impacto económico que produjo la resolución en la economía de mi mandante”; sin que por lo avanzado del procedimiento de liquidación se cause ningún perjuicio a la contraparte.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el demandante en amparo consistente en que se suspenda un procedimiento de ejecución de títulos judiciales en la medida en que le ha supuesto un grave quebranto económico por haber estado embargado su sueldo para hacer frente a la totalidad del pago del principal al que fue condenado y está pendiente todavía la ulterior liquidación de intereses y costas de la contraparte, cuya práctica por la parte demandante se ha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de la Ley Orgánica del Tribunal Constitucional (LOTC) dispone que la interposición de un recurso de amparo no suspenderá los efectos del acto o sentencia impugnados y el art. 56.2 LOTC concreta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manera reiterada en interpretación de este precepto que (i)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y que debe entenderse por tal aquel que provoque que el restablecimiento del recurrente en los derechos fundamentales cuya vulneración denuncia sea tardío e impida definitivamente que la restauración sea efectiva; (ii) la acreditación del perjuicio es carga del recurrente, quien debe precisar los concretos perjuicios que de la ejecución se deriven, así como justificar o argumentar razonadamente su irreparabilidad, que el perjuicio irreparable debe ser real, sin que sea posible alegar un perjuicio futuro o hipotético o un simple temor y que la pérdida de la finalidad del amparo no puede equipararse a la mayor o menor dificultad, molestia o incomodidad para el recurrente, y (iii) en lo que se refiere a la ejecución de los pronunciamientos con efectos fundamentalmente patrimoniales o de contenido económico, el tribunal ha consagrado que, con carácter general, la ejecución que acarrea tales efectos ni causa un perjuicio irreparable al obligado al pago, ni puede hacer perder al amparo su finalidad, al ser posible la restitución íntegra de lo ejecutado (así, por ejemplo, ATC 97/2019, de 16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suspensión que se solicita es de exclusivo carácter económico y lo es, además, respecto de una situación que no es todavía actual y sin que se hayan alegado ni acreditado los eventuales perjuicios que pudieran producirse. En efecto, la circunstancia de que haya estado embargado el salario del recurrente en pago de la totalidad del principal de la condena económica y que esto hubiera provocado un eventual impacto en su economía familiar es un perjuicio que se ubica en el pasado y que ya ha agotado sus efectos, por lo que no puede ser enervado mediante una decisión de suspensión. Por otro lado, los eventuales perjuicios que se alegan vinculados al pago de los intereses y costas no dejan de ser hipotéticos en este momento, ya que, tal como reconoce el recurrente, ni siquiera han sido cuantificados todavía ni tampoco respecto de ellos se ha acordado, lógicamente, ningún tipo de embargo.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tal como también interesa el Ministerio Fiscal, no resulta procedente en este momento acceder a la suspensión solicitada, sin perjuicio de que la alteración de las actuales circunstancias pudiera, en su caso, conllevar una nueva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